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BB8" w:rsidRDefault="00582BB8" w:rsidP="00BF560A">
      <w:bookmarkStart w:id="0" w:name="_Toc522109012"/>
      <w:bookmarkStart w:id="1" w:name="_Toc522110359"/>
      <w:bookmarkStart w:id="2" w:name="_Toc522625450"/>
      <w:bookmarkStart w:id="3" w:name="_Toc523306378"/>
      <w:bookmarkStart w:id="4" w:name="_Toc523484361"/>
      <w:bookmarkStart w:id="5" w:name="_Toc523484466"/>
    </w:p>
    <w:p w:rsidR="00582BB8" w:rsidRDefault="00582BB8" w:rsidP="00BF560A"/>
    <w:p w:rsidR="00582BB8" w:rsidRDefault="00582BB8" w:rsidP="00BF560A"/>
    <w:p w:rsidR="00D753FE" w:rsidRPr="00094A45" w:rsidRDefault="00D753FE" w:rsidP="00582BB8">
      <w:pPr>
        <w:pStyle w:val="Title"/>
      </w:pPr>
      <w:r w:rsidRPr="00D64661">
        <w:t>N</w:t>
      </w:r>
      <w:r w:rsidR="00CE104D">
        <w:t>Z</w:t>
      </w:r>
      <w:r w:rsidRPr="00D64661">
        <w:t>RIS Stewardship and Oversight Group (NSOG)</w:t>
      </w:r>
      <w:bookmarkEnd w:id="0"/>
      <w:bookmarkEnd w:id="1"/>
      <w:bookmarkEnd w:id="2"/>
      <w:bookmarkEnd w:id="3"/>
      <w:bookmarkEnd w:id="4"/>
      <w:bookmarkEnd w:id="5"/>
    </w:p>
    <w:p w:rsidR="00582BB8" w:rsidRDefault="00D753FE" w:rsidP="00582BB8">
      <w:pPr>
        <w:pStyle w:val="Title"/>
      </w:pPr>
      <w:bookmarkStart w:id="6" w:name="_Toc522109013"/>
      <w:bookmarkStart w:id="7" w:name="_Toc522110360"/>
      <w:bookmarkStart w:id="8" w:name="_Toc522625451"/>
      <w:bookmarkStart w:id="9" w:name="_Toc523306379"/>
      <w:bookmarkStart w:id="10" w:name="_Toc523484362"/>
      <w:bookmarkStart w:id="11" w:name="_Toc523484467"/>
      <w:r w:rsidRPr="00D64661">
        <w:t>Terms of Reference</w:t>
      </w:r>
      <w:bookmarkEnd w:id="6"/>
      <w:bookmarkEnd w:id="7"/>
      <w:bookmarkEnd w:id="8"/>
      <w:bookmarkEnd w:id="9"/>
      <w:bookmarkEnd w:id="10"/>
      <w:bookmarkEnd w:id="11"/>
      <w:r w:rsidR="00582BB8">
        <w:t xml:space="preserve"> </w:t>
      </w:r>
    </w:p>
    <w:p w:rsidR="00D753FE" w:rsidRDefault="00D753FE" w:rsidP="00582BB8">
      <w:pPr>
        <w:jc w:val="center"/>
      </w:pPr>
      <w:r w:rsidRPr="00DA55C7">
        <w:br/>
      </w:r>
    </w:p>
    <w:p w:rsidR="00764617" w:rsidRPr="00221107" w:rsidRDefault="00764617" w:rsidP="00582BB8">
      <w:pPr>
        <w:jc w:val="center"/>
      </w:pPr>
      <w:r>
        <w:t xml:space="preserve">Revised </w:t>
      </w:r>
      <w:r w:rsidR="00E6081E">
        <w:t>on 19 November</w:t>
      </w:r>
      <w:r>
        <w:t xml:space="preserve"> 2019</w:t>
      </w:r>
      <w:bookmarkStart w:id="12" w:name="_GoBack"/>
      <w:bookmarkEnd w:id="12"/>
    </w:p>
    <w:p w:rsidR="00D753FE" w:rsidRDefault="00582BB8" w:rsidP="00D753FE">
      <w:pPr>
        <w:pStyle w:val="Heading1"/>
      </w:pPr>
      <w:r>
        <w:br w:type="page"/>
      </w:r>
      <w:bookmarkStart w:id="13" w:name="_Toc16602727"/>
      <w:r w:rsidR="00D753FE">
        <w:lastRenderedPageBreak/>
        <w:t>Definition of terms</w:t>
      </w:r>
      <w:bookmarkEnd w:id="13"/>
    </w:p>
    <w:p w:rsidR="00D753FE" w:rsidRDefault="00D753FE" w:rsidP="00D753FE">
      <w:r>
        <w:t>In this Terms of Reference, the following terms have the following meanings:</w:t>
      </w:r>
    </w:p>
    <w:tbl>
      <w:tblPr>
        <w:tblW w:w="0" w:type="auto"/>
        <w:tblBorders>
          <w:insideH w:val="single" w:sz="4" w:space="0" w:color="auto"/>
        </w:tblBorders>
        <w:tblLook w:val="04A0" w:firstRow="1" w:lastRow="0" w:firstColumn="1" w:lastColumn="0" w:noHBand="0" w:noVBand="1"/>
      </w:tblPr>
      <w:tblGrid>
        <w:gridCol w:w="2065"/>
        <w:gridCol w:w="6961"/>
      </w:tblGrid>
      <w:tr w:rsidR="0066592C" w:rsidTr="00582BB8">
        <w:trPr>
          <w:trHeight w:val="463"/>
        </w:trPr>
        <w:tc>
          <w:tcPr>
            <w:tcW w:w="2093" w:type="dxa"/>
            <w:shd w:val="clear" w:color="auto" w:fill="auto"/>
          </w:tcPr>
          <w:p w:rsidR="00D753FE" w:rsidRDefault="00D753FE" w:rsidP="00CE2DC8">
            <w:r>
              <w:t>Access protocols</w:t>
            </w:r>
          </w:p>
        </w:tc>
        <w:tc>
          <w:tcPr>
            <w:tcW w:w="7149" w:type="dxa"/>
            <w:shd w:val="clear" w:color="auto" w:fill="auto"/>
          </w:tcPr>
          <w:p w:rsidR="00B055BF" w:rsidRPr="00DC4BFA" w:rsidRDefault="00D753FE" w:rsidP="00B055BF">
            <w:pPr>
              <w:rPr>
                <w:rFonts w:cs="Calibri"/>
                <w:strike/>
              </w:rPr>
            </w:pPr>
            <w:r w:rsidRPr="00D72F49">
              <w:rPr>
                <w:rFonts w:cs="Calibri"/>
              </w:rPr>
              <w:t xml:space="preserve">Procedures </w:t>
            </w:r>
            <w:r w:rsidR="00D72F49">
              <w:rPr>
                <w:rFonts w:cs="Calibri"/>
              </w:rPr>
              <w:t xml:space="preserve">for Authorised users </w:t>
            </w:r>
            <w:r w:rsidRPr="00D72F49">
              <w:rPr>
                <w:rFonts w:cs="Calibri"/>
              </w:rPr>
              <w:t>to</w:t>
            </w:r>
            <w:r w:rsidR="00D72F49">
              <w:rPr>
                <w:rFonts w:cs="Calibri"/>
              </w:rPr>
              <w:t xml:space="preserve"> submit,</w:t>
            </w:r>
            <w:r w:rsidRPr="00D72F49">
              <w:rPr>
                <w:rFonts w:cs="Calibri"/>
              </w:rPr>
              <w:t xml:space="preserve"> view data and generate information from that data</w:t>
            </w:r>
          </w:p>
        </w:tc>
      </w:tr>
      <w:tr w:rsidR="004F65D9" w:rsidTr="00582BB8">
        <w:trPr>
          <w:trHeight w:val="463"/>
        </w:trPr>
        <w:tc>
          <w:tcPr>
            <w:tcW w:w="2093" w:type="dxa"/>
            <w:shd w:val="clear" w:color="auto" w:fill="auto"/>
          </w:tcPr>
          <w:p w:rsidR="00D753FE" w:rsidRDefault="00410969" w:rsidP="00CE2DC8">
            <w:r>
              <w:t xml:space="preserve">Authorised </w:t>
            </w:r>
            <w:r w:rsidR="00D753FE">
              <w:t>user</w:t>
            </w:r>
          </w:p>
          <w:p w:rsidR="00D753FE" w:rsidRDefault="00D753FE" w:rsidP="00CE2DC8"/>
        </w:tc>
        <w:tc>
          <w:tcPr>
            <w:tcW w:w="7149" w:type="dxa"/>
            <w:shd w:val="clear" w:color="auto" w:fill="auto"/>
          </w:tcPr>
          <w:p w:rsidR="000C40C6" w:rsidRPr="003E5684" w:rsidRDefault="00D753FE" w:rsidP="005D24AE">
            <w:pPr>
              <w:rPr>
                <w:rFonts w:cs="Calibri"/>
              </w:rPr>
            </w:pPr>
            <w:r w:rsidRPr="00D72F49">
              <w:rPr>
                <w:rFonts w:cs="Calibri"/>
              </w:rPr>
              <w:t xml:space="preserve">A user who has authorised access into a part of </w:t>
            </w:r>
            <w:r w:rsidR="00CE104D" w:rsidRPr="00D72F49">
              <w:rPr>
                <w:rFonts w:cs="Calibri"/>
              </w:rPr>
              <w:t>NZRIS</w:t>
            </w:r>
            <w:r w:rsidRPr="00D72F49">
              <w:rPr>
                <w:rFonts w:cs="Calibri"/>
              </w:rPr>
              <w:t>, either a</w:t>
            </w:r>
            <w:r w:rsidR="00D72F49">
              <w:rPr>
                <w:rFonts w:cs="Calibri"/>
              </w:rPr>
              <w:t>n approved</w:t>
            </w:r>
            <w:r w:rsidRPr="00D72F49">
              <w:rPr>
                <w:rFonts w:cs="Calibri"/>
              </w:rPr>
              <w:t xml:space="preserve"> representative of a data provider organisation, or an administrator of the </w:t>
            </w:r>
            <w:r w:rsidR="00CE104D" w:rsidRPr="00D72F49">
              <w:rPr>
                <w:rFonts w:cs="Calibri"/>
              </w:rPr>
              <w:t>NZRIS</w:t>
            </w:r>
            <w:r w:rsidRPr="00D72F49">
              <w:rPr>
                <w:rFonts w:cs="Calibri"/>
              </w:rPr>
              <w:t xml:space="preserve"> system</w:t>
            </w:r>
          </w:p>
        </w:tc>
      </w:tr>
      <w:tr w:rsidR="004F65D9" w:rsidTr="00582BB8">
        <w:trPr>
          <w:trHeight w:val="463"/>
        </w:trPr>
        <w:tc>
          <w:tcPr>
            <w:tcW w:w="2093" w:type="dxa"/>
            <w:shd w:val="clear" w:color="auto" w:fill="auto"/>
          </w:tcPr>
          <w:p w:rsidR="00D753FE" w:rsidRDefault="00D753FE" w:rsidP="00CE2DC8">
            <w:r>
              <w:t>Data transfer model</w:t>
            </w:r>
          </w:p>
          <w:p w:rsidR="00D753FE" w:rsidRDefault="00D753FE" w:rsidP="00CE2DC8"/>
        </w:tc>
        <w:tc>
          <w:tcPr>
            <w:tcW w:w="7149" w:type="dxa"/>
            <w:shd w:val="clear" w:color="auto" w:fill="auto"/>
          </w:tcPr>
          <w:p w:rsidR="00D753FE" w:rsidRPr="003E5684" w:rsidRDefault="00D753FE" w:rsidP="00C75987">
            <w:pPr>
              <w:rPr>
                <w:rFonts w:cs="Calibri"/>
              </w:rPr>
            </w:pPr>
            <w:r w:rsidRPr="003E5684">
              <w:rPr>
                <w:rFonts w:cs="Calibri"/>
              </w:rPr>
              <w:t xml:space="preserve">A flexible and generic approach to the transfer of data from data holders to </w:t>
            </w:r>
            <w:r w:rsidR="00CE104D">
              <w:rPr>
                <w:rFonts w:cs="Calibri"/>
              </w:rPr>
              <w:t>NZRIS</w:t>
            </w:r>
            <w:r w:rsidRPr="003E5684">
              <w:rPr>
                <w:rFonts w:cs="Calibri"/>
              </w:rPr>
              <w:t xml:space="preserve"> hub.  The model helps organisations plan for the future by setting out the high level entities that will be involved in data transfer as well as key concepts (unit records and unique identifiers) behind the data transfer approach. The data transfer model is the organising structure within which data standards sit. </w:t>
            </w:r>
          </w:p>
        </w:tc>
      </w:tr>
      <w:tr w:rsidR="00764617" w:rsidTr="00582BB8">
        <w:trPr>
          <w:trHeight w:val="463"/>
        </w:trPr>
        <w:tc>
          <w:tcPr>
            <w:tcW w:w="2093" w:type="dxa"/>
            <w:shd w:val="clear" w:color="auto" w:fill="auto"/>
          </w:tcPr>
          <w:p w:rsidR="00764617" w:rsidRDefault="00764617" w:rsidP="00CE2DC8">
            <w:r>
              <w:t>NZRIS hub</w:t>
            </w:r>
          </w:p>
        </w:tc>
        <w:tc>
          <w:tcPr>
            <w:tcW w:w="7149" w:type="dxa"/>
            <w:shd w:val="clear" w:color="auto" w:fill="auto"/>
          </w:tcPr>
          <w:p w:rsidR="00764617" w:rsidRPr="003E5684" w:rsidRDefault="00764617" w:rsidP="00CE2DC8">
            <w:pPr>
              <w:rPr>
                <w:rFonts w:cs="Calibri"/>
              </w:rPr>
            </w:pPr>
            <w:r w:rsidRPr="003E5684">
              <w:rPr>
                <w:rFonts w:cs="Calibri"/>
              </w:rPr>
              <w:t xml:space="preserve">The </w:t>
            </w:r>
            <w:r>
              <w:rPr>
                <w:rFonts w:cs="Calibri"/>
              </w:rPr>
              <w:t>NZRIS</w:t>
            </w:r>
            <w:r w:rsidRPr="003E5684">
              <w:rPr>
                <w:rFonts w:cs="Calibri"/>
              </w:rPr>
              <w:t xml:space="preserve"> hub is the technology system that enables provision and use of data. This includes the transfer mechanisms to the data repository, the data repository holding the data, and the interfaces into that data (both public and authorised).</w:t>
            </w:r>
          </w:p>
        </w:tc>
      </w:tr>
      <w:tr w:rsidR="004F65D9" w:rsidTr="00582BB8">
        <w:trPr>
          <w:trHeight w:val="463"/>
        </w:trPr>
        <w:tc>
          <w:tcPr>
            <w:tcW w:w="2093" w:type="dxa"/>
            <w:shd w:val="clear" w:color="auto" w:fill="auto"/>
          </w:tcPr>
          <w:p w:rsidR="00D753FE" w:rsidRPr="00823E48" w:rsidRDefault="00CE104D" w:rsidP="00CE2DC8">
            <w:r>
              <w:t>NZRIS</w:t>
            </w:r>
            <w:r w:rsidR="00D753FE">
              <w:t xml:space="preserve"> / </w:t>
            </w:r>
            <w:r>
              <w:t>NZRIS</w:t>
            </w:r>
            <w:r w:rsidR="00D753FE">
              <w:t xml:space="preserve"> P</w:t>
            </w:r>
            <w:r w:rsidR="00D753FE" w:rsidRPr="00823E48">
              <w:t>rogramme</w:t>
            </w:r>
          </w:p>
        </w:tc>
        <w:tc>
          <w:tcPr>
            <w:tcW w:w="7149" w:type="dxa"/>
            <w:shd w:val="clear" w:color="auto" w:fill="auto"/>
          </w:tcPr>
          <w:p w:rsidR="00D753FE" w:rsidRPr="003E5684" w:rsidRDefault="00D753FE" w:rsidP="00CE2DC8">
            <w:pPr>
              <w:rPr>
                <w:rFonts w:cs="Calibri"/>
              </w:rPr>
            </w:pPr>
            <w:r w:rsidRPr="003E5684">
              <w:rPr>
                <w:rFonts w:cs="Calibri"/>
              </w:rPr>
              <w:t xml:space="preserve">The </w:t>
            </w:r>
            <w:r w:rsidR="00CE104D">
              <w:rPr>
                <w:rFonts w:cs="Calibri"/>
              </w:rPr>
              <w:t>New Zealand Research</w:t>
            </w:r>
            <w:r w:rsidRPr="003E5684">
              <w:rPr>
                <w:rFonts w:cs="Calibri"/>
              </w:rPr>
              <w:t xml:space="preserve"> Information System (</w:t>
            </w:r>
            <w:r w:rsidR="00CE104D">
              <w:rPr>
                <w:rFonts w:cs="Calibri"/>
              </w:rPr>
              <w:t>NZRIS</w:t>
            </w:r>
            <w:r w:rsidRPr="003E5684">
              <w:rPr>
                <w:rFonts w:cs="Calibri"/>
              </w:rPr>
              <w:t>) including the governance, management, communication and operations of the system as a whole.</w:t>
            </w:r>
          </w:p>
        </w:tc>
      </w:tr>
      <w:tr w:rsidR="004F65D9" w:rsidTr="00582BB8">
        <w:trPr>
          <w:trHeight w:val="463"/>
        </w:trPr>
        <w:tc>
          <w:tcPr>
            <w:tcW w:w="2093" w:type="dxa"/>
            <w:shd w:val="clear" w:color="auto" w:fill="auto"/>
          </w:tcPr>
          <w:p w:rsidR="00D753FE" w:rsidRDefault="00CE104D" w:rsidP="006623C7">
            <w:r>
              <w:t>NZRIS</w:t>
            </w:r>
            <w:r w:rsidR="00D753FE">
              <w:t xml:space="preserve"> Data Specification </w:t>
            </w:r>
          </w:p>
        </w:tc>
        <w:tc>
          <w:tcPr>
            <w:tcW w:w="7149" w:type="dxa"/>
            <w:shd w:val="clear" w:color="auto" w:fill="auto"/>
          </w:tcPr>
          <w:p w:rsidR="006623C7" w:rsidRPr="003E5684" w:rsidRDefault="006623C7" w:rsidP="00CE2DC8">
            <w:pPr>
              <w:rPr>
                <w:rFonts w:cs="Calibri"/>
              </w:rPr>
            </w:pPr>
            <w:r>
              <w:rPr>
                <w:rFonts w:cs="Calibri"/>
              </w:rPr>
              <w:t>The document that sets out the specifications for the data to be provided to NZRIS along with the guidance to data providers to assist with responding to the individual data requirements.</w:t>
            </w:r>
          </w:p>
        </w:tc>
      </w:tr>
      <w:tr w:rsidR="009E2420" w:rsidTr="00582BB8">
        <w:trPr>
          <w:trHeight w:val="463"/>
        </w:trPr>
        <w:tc>
          <w:tcPr>
            <w:tcW w:w="2093" w:type="dxa"/>
            <w:shd w:val="clear" w:color="auto" w:fill="auto"/>
          </w:tcPr>
          <w:p w:rsidR="009E2420" w:rsidRDefault="003F3442" w:rsidP="00CE2DC8">
            <w:r>
              <w:t>Data s</w:t>
            </w:r>
            <w:r w:rsidR="009E2420">
              <w:t>tewardship</w:t>
            </w:r>
          </w:p>
        </w:tc>
        <w:tc>
          <w:tcPr>
            <w:tcW w:w="7149" w:type="dxa"/>
            <w:shd w:val="clear" w:color="auto" w:fill="auto"/>
          </w:tcPr>
          <w:p w:rsidR="009E2420" w:rsidRPr="003E5684" w:rsidRDefault="00AC5F77" w:rsidP="00304E52">
            <w:pPr>
              <w:rPr>
                <w:rFonts w:cs="Calibri"/>
              </w:rPr>
            </w:pPr>
            <w:r>
              <w:rPr>
                <w:rFonts w:cs="Calibri"/>
              </w:rPr>
              <w:t>The</w:t>
            </w:r>
            <w:r w:rsidR="003F3442" w:rsidRPr="003F3442">
              <w:rPr>
                <w:rFonts w:cs="Calibri"/>
              </w:rPr>
              <w:t xml:space="preserve"> careful and responsible collection, management, and</w:t>
            </w:r>
            <w:r w:rsidR="003F3442">
              <w:rPr>
                <w:rFonts w:cs="Calibri"/>
              </w:rPr>
              <w:t xml:space="preserve"> </w:t>
            </w:r>
            <w:r w:rsidR="003F3442" w:rsidRPr="003F3442">
              <w:rPr>
                <w:rFonts w:cs="Calibri"/>
              </w:rPr>
              <w:t>use of data</w:t>
            </w:r>
            <w:r>
              <w:rPr>
                <w:rFonts w:cs="Calibri"/>
              </w:rPr>
              <w:t xml:space="preserve"> in NZRIS</w:t>
            </w:r>
            <w:r w:rsidR="003F3442" w:rsidRPr="003F3442">
              <w:rPr>
                <w:rFonts w:cs="Calibri"/>
              </w:rPr>
              <w:t>.</w:t>
            </w:r>
          </w:p>
        </w:tc>
      </w:tr>
      <w:tr w:rsidR="009E2420" w:rsidTr="00582BB8">
        <w:trPr>
          <w:trHeight w:val="463"/>
        </w:trPr>
        <w:tc>
          <w:tcPr>
            <w:tcW w:w="2093" w:type="dxa"/>
            <w:shd w:val="clear" w:color="auto" w:fill="auto"/>
          </w:tcPr>
          <w:p w:rsidR="009E2420" w:rsidRDefault="00AC5F77" w:rsidP="00CE2DC8">
            <w:r>
              <w:t>Stewardship and o</w:t>
            </w:r>
            <w:r w:rsidR="009E2420">
              <w:t>versight</w:t>
            </w:r>
          </w:p>
        </w:tc>
        <w:tc>
          <w:tcPr>
            <w:tcW w:w="7149" w:type="dxa"/>
            <w:shd w:val="clear" w:color="auto" w:fill="auto"/>
          </w:tcPr>
          <w:p w:rsidR="00AC5F77" w:rsidRDefault="00AC5F77" w:rsidP="00CE2DC8">
            <w:pPr>
              <w:rPr>
                <w:rFonts w:cs="Calibri"/>
              </w:rPr>
            </w:pPr>
            <w:r>
              <w:rPr>
                <w:rFonts w:cs="Calibri"/>
              </w:rPr>
              <w:t>The coordination and implementation a</w:t>
            </w:r>
            <w:r w:rsidRPr="002503A7">
              <w:rPr>
                <w:rFonts w:cs="Calibri"/>
              </w:rPr>
              <w:t xml:space="preserve">ctivities </w:t>
            </w:r>
            <w:r>
              <w:rPr>
                <w:rFonts w:cs="Calibri"/>
              </w:rPr>
              <w:t xml:space="preserve">carried out by NSOG </w:t>
            </w:r>
            <w:r w:rsidRPr="002503A7">
              <w:rPr>
                <w:rFonts w:cs="Calibri"/>
              </w:rPr>
              <w:t>that</w:t>
            </w:r>
            <w:r>
              <w:rPr>
                <w:rFonts w:cs="Calibri"/>
              </w:rPr>
              <w:t>:</w:t>
            </w:r>
          </w:p>
          <w:p w:rsidR="009E2420" w:rsidRDefault="00AC5F77" w:rsidP="00410969">
            <w:pPr>
              <w:numPr>
                <w:ilvl w:val="0"/>
                <w:numId w:val="13"/>
              </w:numPr>
              <w:rPr>
                <w:rFonts w:cs="Calibri"/>
              </w:rPr>
            </w:pPr>
            <w:r w:rsidRPr="002503A7">
              <w:rPr>
                <w:rFonts w:cs="Calibri"/>
              </w:rPr>
              <w:t xml:space="preserve">Ensure work </w:t>
            </w:r>
            <w:r>
              <w:rPr>
                <w:rFonts w:cs="Calibri"/>
              </w:rPr>
              <w:t xml:space="preserve">on NZRIS and the data that it holds </w:t>
            </w:r>
            <w:r w:rsidRPr="002503A7">
              <w:rPr>
                <w:rFonts w:cs="Calibri"/>
              </w:rPr>
              <w:t xml:space="preserve">is performed according to </w:t>
            </w:r>
            <w:r>
              <w:rPr>
                <w:rFonts w:cs="Calibri"/>
              </w:rPr>
              <w:t xml:space="preserve">the established </w:t>
            </w:r>
            <w:r w:rsidRPr="002503A7">
              <w:rPr>
                <w:rFonts w:cs="Calibri"/>
              </w:rPr>
              <w:t>policies and pr</w:t>
            </w:r>
            <w:r>
              <w:rPr>
                <w:rFonts w:cs="Calibri"/>
              </w:rPr>
              <w:t>ocedures</w:t>
            </w:r>
            <w:r w:rsidR="00EB1D1D">
              <w:t xml:space="preserve"> and is </w:t>
            </w:r>
            <w:r w:rsidR="00EB1D1D" w:rsidRPr="00EB1D1D">
              <w:rPr>
                <w:rFonts w:cs="Calibri"/>
              </w:rPr>
              <w:t>appropriate, ethical and beneficial</w:t>
            </w:r>
            <w:r w:rsidRPr="002503A7">
              <w:rPr>
                <w:rFonts w:cs="Calibri"/>
              </w:rPr>
              <w:t>.</w:t>
            </w:r>
            <w:r>
              <w:rPr>
                <w:rFonts w:cs="Calibri"/>
              </w:rPr>
              <w:t xml:space="preserve"> </w:t>
            </w:r>
          </w:p>
          <w:p w:rsidR="00AC5F77" w:rsidRPr="003E5684" w:rsidRDefault="00D053D7" w:rsidP="0018469E">
            <w:pPr>
              <w:numPr>
                <w:ilvl w:val="0"/>
                <w:numId w:val="13"/>
              </w:numPr>
              <w:rPr>
                <w:rFonts w:cs="Calibri"/>
              </w:rPr>
            </w:pPr>
            <w:r>
              <w:rPr>
                <w:rFonts w:cs="Calibri"/>
              </w:rPr>
              <w:t>Allows for a level of</w:t>
            </w:r>
            <w:r w:rsidR="00073CB3">
              <w:rPr>
                <w:rFonts w:cs="Calibri"/>
              </w:rPr>
              <w:t xml:space="preserve"> independent</w:t>
            </w:r>
            <w:r>
              <w:rPr>
                <w:rFonts w:cs="Calibri"/>
              </w:rPr>
              <w:t xml:space="preserve"> </w:t>
            </w:r>
            <w:r w:rsidR="0018469E">
              <w:rPr>
                <w:rFonts w:cs="Calibri"/>
              </w:rPr>
              <w:t xml:space="preserve">advice </w:t>
            </w:r>
            <w:r>
              <w:rPr>
                <w:rFonts w:cs="Calibri"/>
              </w:rPr>
              <w:t>and direct</w:t>
            </w:r>
            <w:r w:rsidR="00AC5F77">
              <w:rPr>
                <w:rFonts w:cs="Calibri"/>
              </w:rPr>
              <w:t xml:space="preserve"> liaison between </w:t>
            </w:r>
            <w:r w:rsidR="00073CB3">
              <w:rPr>
                <w:rFonts w:cs="Calibri"/>
              </w:rPr>
              <w:t>data providers and MBIE (as the host o</w:t>
            </w:r>
            <w:r>
              <w:rPr>
                <w:rFonts w:cs="Calibri"/>
              </w:rPr>
              <w:t xml:space="preserve">rganisation). </w:t>
            </w:r>
          </w:p>
        </w:tc>
      </w:tr>
    </w:tbl>
    <w:p w:rsidR="00D753FE" w:rsidRDefault="00D753FE" w:rsidP="00D753FE"/>
    <w:p w:rsidR="00D753FE" w:rsidRDefault="00D753FE" w:rsidP="00D753FE"/>
    <w:p w:rsidR="00D753FE" w:rsidRDefault="00D753FE" w:rsidP="00D753FE"/>
    <w:p w:rsidR="00D753FE" w:rsidRDefault="00D753FE" w:rsidP="00D753FE">
      <w:pPr>
        <w:pStyle w:val="Heading1"/>
      </w:pPr>
      <w:bookmarkStart w:id="14" w:name="_Toc525550515"/>
      <w:bookmarkStart w:id="15" w:name="_Toc523484469"/>
      <w:bookmarkStart w:id="16" w:name="_Toc16602728"/>
      <w:r w:rsidRPr="00DA55C7">
        <w:lastRenderedPageBreak/>
        <w:t>Background</w:t>
      </w:r>
      <w:bookmarkEnd w:id="14"/>
      <w:bookmarkEnd w:id="15"/>
      <w:bookmarkEnd w:id="16"/>
    </w:p>
    <w:p w:rsidR="002D53E7" w:rsidRDefault="002D53E7" w:rsidP="00D753FE">
      <w:pPr>
        <w:rPr>
          <w:rFonts w:asciiTheme="minorHAnsi" w:hAnsiTheme="minorHAnsi"/>
        </w:rPr>
      </w:pPr>
      <w:r w:rsidRPr="00582BB8">
        <w:rPr>
          <w:rFonts w:asciiTheme="minorHAnsi" w:hAnsiTheme="minorHAnsi"/>
        </w:rPr>
        <w:t xml:space="preserve">The New Zealand Research Information System (NZRIS) is a Government initiative driven out of the </w:t>
      </w:r>
      <w:hyperlink r:id="rId8" w:history="1">
        <w:r>
          <w:rPr>
            <w:rFonts w:asciiTheme="minorHAnsi" w:hAnsiTheme="minorHAnsi"/>
            <w:color w:val="0563C1"/>
            <w:u w:val="single"/>
          </w:rPr>
          <w:t>Research, Science and Innovation Domain Plan</w:t>
        </w:r>
      </w:hyperlink>
      <w:r w:rsidRPr="00582BB8">
        <w:rPr>
          <w:rFonts w:asciiTheme="minorHAnsi" w:hAnsiTheme="minorHAnsi"/>
        </w:rPr>
        <w:t xml:space="preserve"> released in 2016.</w:t>
      </w:r>
      <w:r w:rsidR="00E31207">
        <w:rPr>
          <w:rStyle w:val="FootnoteReference"/>
        </w:rPr>
        <w:footnoteReference w:id="2"/>
      </w:r>
      <w:r w:rsidR="00E31207" w:rsidRPr="00B91275">
        <w:t xml:space="preserve"> </w:t>
      </w:r>
      <w:r w:rsidRPr="00582BB8">
        <w:rPr>
          <w:rFonts w:asciiTheme="minorHAnsi" w:hAnsiTheme="minorHAnsi"/>
        </w:rPr>
        <w:t xml:space="preserve"> </w:t>
      </w:r>
    </w:p>
    <w:p w:rsidR="002D53E7" w:rsidRDefault="002D53E7" w:rsidP="002D53E7">
      <w:pPr>
        <w:rPr>
          <w:rFonts w:asciiTheme="minorHAnsi" w:hAnsiTheme="minorHAnsi"/>
        </w:rPr>
      </w:pPr>
      <w:r w:rsidRPr="002D53E7">
        <w:rPr>
          <w:rFonts w:asciiTheme="minorHAnsi" w:hAnsiTheme="minorHAnsi"/>
        </w:rPr>
        <w:t xml:space="preserve">NZRIS </w:t>
      </w:r>
      <w:r>
        <w:rPr>
          <w:rFonts w:asciiTheme="minorHAnsi" w:hAnsiTheme="minorHAnsi"/>
        </w:rPr>
        <w:t xml:space="preserve">is </w:t>
      </w:r>
      <w:r w:rsidRPr="002D53E7">
        <w:rPr>
          <w:rFonts w:asciiTheme="minorHAnsi" w:hAnsiTheme="minorHAnsi"/>
        </w:rPr>
        <w:t>an online hub where people can find information about research, science and innovation</w:t>
      </w:r>
      <w:r w:rsidR="004E67CB">
        <w:rPr>
          <w:rFonts w:asciiTheme="minorHAnsi" w:hAnsiTheme="minorHAnsi"/>
        </w:rPr>
        <w:t xml:space="preserve"> (RS&amp;I)</w:t>
      </w:r>
      <w:r w:rsidRPr="002D53E7">
        <w:rPr>
          <w:rFonts w:asciiTheme="minorHAnsi" w:hAnsiTheme="minorHAnsi"/>
        </w:rPr>
        <w:t xml:space="preserve"> in New Zealand. While NZRIS will not hold the actual results of research, it will contain information about research funding in its initial stages and then start to include information on the research activity associated with that funding. </w:t>
      </w:r>
    </w:p>
    <w:p w:rsidR="002F7BD3" w:rsidRDefault="004E67CB" w:rsidP="002D53E7">
      <w:pPr>
        <w:rPr>
          <w:rFonts w:asciiTheme="minorHAnsi" w:hAnsiTheme="minorHAnsi"/>
        </w:rPr>
      </w:pPr>
      <w:r>
        <w:rPr>
          <w:rFonts w:asciiTheme="minorHAnsi" w:hAnsiTheme="minorHAnsi"/>
        </w:rPr>
        <w:t xml:space="preserve">NZRIS </w:t>
      </w:r>
      <w:r w:rsidR="00D6078E">
        <w:rPr>
          <w:rFonts w:asciiTheme="minorHAnsi" w:hAnsiTheme="minorHAnsi"/>
        </w:rPr>
        <w:t xml:space="preserve">addresses the </w:t>
      </w:r>
      <w:r w:rsidR="00D37556">
        <w:rPr>
          <w:rFonts w:asciiTheme="minorHAnsi" w:hAnsiTheme="minorHAnsi"/>
        </w:rPr>
        <w:t>absence of</w:t>
      </w:r>
      <w:r w:rsidR="00D6078E">
        <w:rPr>
          <w:rFonts w:asciiTheme="minorHAnsi" w:hAnsiTheme="minorHAnsi"/>
        </w:rPr>
        <w:t xml:space="preserve"> a </w:t>
      </w:r>
      <w:r>
        <w:rPr>
          <w:rFonts w:asciiTheme="minorHAnsi" w:hAnsiTheme="minorHAnsi"/>
        </w:rPr>
        <w:t xml:space="preserve">central and easily accessible source to find out what is happening in the RS&amp;I sector. Over time as the system matures, NZRIS </w:t>
      </w:r>
      <w:r w:rsidR="00FD53A3">
        <w:rPr>
          <w:rFonts w:asciiTheme="minorHAnsi" w:hAnsiTheme="minorHAnsi"/>
        </w:rPr>
        <w:t xml:space="preserve">is expected to </w:t>
      </w:r>
      <w:r>
        <w:rPr>
          <w:rFonts w:asciiTheme="minorHAnsi" w:hAnsiTheme="minorHAnsi"/>
        </w:rPr>
        <w:t xml:space="preserve">provide wider benefits </w:t>
      </w:r>
      <w:r w:rsidR="00F90FFE">
        <w:rPr>
          <w:rFonts w:asciiTheme="minorHAnsi" w:hAnsiTheme="minorHAnsi"/>
        </w:rPr>
        <w:t xml:space="preserve">for </w:t>
      </w:r>
      <w:r>
        <w:rPr>
          <w:rFonts w:asciiTheme="minorHAnsi" w:hAnsiTheme="minorHAnsi"/>
        </w:rPr>
        <w:t>the sector</w:t>
      </w:r>
      <w:r w:rsidR="00CB6196">
        <w:rPr>
          <w:rFonts w:asciiTheme="minorHAnsi" w:hAnsiTheme="minorHAnsi"/>
        </w:rPr>
        <w:t>. These include</w:t>
      </w:r>
      <w:r w:rsidR="003F0B35">
        <w:rPr>
          <w:rFonts w:asciiTheme="minorHAnsi" w:hAnsiTheme="minorHAnsi"/>
        </w:rPr>
        <w:t xml:space="preserve"> </w:t>
      </w:r>
      <w:r w:rsidR="00253B02">
        <w:rPr>
          <w:rFonts w:asciiTheme="minorHAnsi" w:hAnsiTheme="minorHAnsi"/>
        </w:rPr>
        <w:t>redu</w:t>
      </w:r>
      <w:r w:rsidR="00CB6196">
        <w:rPr>
          <w:rFonts w:asciiTheme="minorHAnsi" w:hAnsiTheme="minorHAnsi"/>
        </w:rPr>
        <w:t>cing</w:t>
      </w:r>
      <w:r>
        <w:rPr>
          <w:rFonts w:asciiTheme="minorHAnsi" w:hAnsiTheme="minorHAnsi"/>
        </w:rPr>
        <w:t xml:space="preserve"> reporting burdens</w:t>
      </w:r>
      <w:r w:rsidR="006C4436">
        <w:rPr>
          <w:rFonts w:asciiTheme="minorHAnsi" w:hAnsiTheme="minorHAnsi"/>
        </w:rPr>
        <w:t xml:space="preserve"> and </w:t>
      </w:r>
      <w:r w:rsidR="00CB6196">
        <w:rPr>
          <w:rFonts w:asciiTheme="minorHAnsi" w:hAnsiTheme="minorHAnsi"/>
        </w:rPr>
        <w:t xml:space="preserve">minimising duplication of activities </w:t>
      </w:r>
      <w:r w:rsidR="006C4436">
        <w:rPr>
          <w:rFonts w:asciiTheme="minorHAnsi" w:hAnsiTheme="minorHAnsi"/>
        </w:rPr>
        <w:t xml:space="preserve">among data providers through the </w:t>
      </w:r>
      <w:r w:rsidR="00CB6196">
        <w:rPr>
          <w:rFonts w:asciiTheme="minorHAnsi" w:hAnsiTheme="minorHAnsi"/>
        </w:rPr>
        <w:t xml:space="preserve">inter-operability and </w:t>
      </w:r>
      <w:r w:rsidR="006C4436">
        <w:rPr>
          <w:rFonts w:asciiTheme="minorHAnsi" w:hAnsiTheme="minorHAnsi"/>
        </w:rPr>
        <w:t xml:space="preserve">integration </w:t>
      </w:r>
      <w:r w:rsidR="00CB6196">
        <w:rPr>
          <w:rFonts w:asciiTheme="minorHAnsi" w:hAnsiTheme="minorHAnsi"/>
        </w:rPr>
        <w:t xml:space="preserve">of NZRIS </w:t>
      </w:r>
      <w:r w:rsidR="006C4436">
        <w:rPr>
          <w:rFonts w:asciiTheme="minorHAnsi" w:hAnsiTheme="minorHAnsi"/>
        </w:rPr>
        <w:t xml:space="preserve">with other similar systems. </w:t>
      </w:r>
    </w:p>
    <w:p w:rsidR="00D84015" w:rsidRDefault="002D53E7" w:rsidP="00D84015">
      <w:r>
        <w:rPr>
          <w:rFonts w:asciiTheme="minorHAnsi" w:hAnsiTheme="minorHAnsi"/>
        </w:rPr>
        <w:t xml:space="preserve">NZRIS </w:t>
      </w:r>
      <w:r w:rsidR="00764617">
        <w:t>requires strong engagement</w:t>
      </w:r>
      <w:r w:rsidRPr="00B91275">
        <w:t xml:space="preserve"> between </w:t>
      </w:r>
      <w:r>
        <w:t xml:space="preserve">the </w:t>
      </w:r>
      <w:r w:rsidRPr="002D53E7">
        <w:t>Ministry of Business, Innovation and Employment</w:t>
      </w:r>
      <w:r w:rsidRPr="00B91275">
        <w:t xml:space="preserve"> </w:t>
      </w:r>
      <w:r w:rsidR="00CC45B8">
        <w:t xml:space="preserve">(MBIE) </w:t>
      </w:r>
      <w:r w:rsidRPr="00B91275">
        <w:t>and the rest of the research, science and innovation</w:t>
      </w:r>
      <w:r>
        <w:t xml:space="preserve"> (RS&amp;I)</w:t>
      </w:r>
      <w:r w:rsidRPr="00B91275">
        <w:t xml:space="preserve"> sector.</w:t>
      </w:r>
      <w:r w:rsidR="00CC45B8">
        <w:t xml:space="preserve"> </w:t>
      </w:r>
      <w:r w:rsidR="00D84015" w:rsidRPr="00753922">
        <w:rPr>
          <w:rFonts w:asciiTheme="minorHAnsi" w:hAnsiTheme="minorHAnsi"/>
        </w:rPr>
        <w:t>NZRIS has been and continues to be co-created with the research, science and innovation sector, and sector-led governance is a key part of this.</w:t>
      </w:r>
      <w:r w:rsidR="00D84015">
        <w:rPr>
          <w:rStyle w:val="FootnoteReference"/>
        </w:rPr>
        <w:footnoteReference w:id="3"/>
      </w:r>
      <w:r w:rsidR="00D84015" w:rsidRPr="00984086">
        <w:t xml:space="preserve"> </w:t>
      </w:r>
    </w:p>
    <w:p w:rsidR="00D84015" w:rsidRDefault="00CC45B8" w:rsidP="00E0300A">
      <w:pPr>
        <w:rPr>
          <w:rFonts w:asciiTheme="minorHAnsi" w:hAnsiTheme="minorHAnsi"/>
        </w:rPr>
      </w:pPr>
      <w:r>
        <w:t>MBIE</w:t>
      </w:r>
      <w:r w:rsidR="002D53E7" w:rsidRPr="00582BB8">
        <w:rPr>
          <w:rFonts w:asciiTheme="minorHAnsi" w:hAnsiTheme="minorHAnsi"/>
        </w:rPr>
        <w:t xml:space="preserve"> </w:t>
      </w:r>
      <w:r w:rsidR="002D53E7">
        <w:rPr>
          <w:rFonts w:asciiTheme="minorHAnsi" w:hAnsiTheme="minorHAnsi"/>
        </w:rPr>
        <w:t xml:space="preserve">is </w:t>
      </w:r>
      <w:r w:rsidR="007B7923">
        <w:rPr>
          <w:rFonts w:asciiTheme="minorHAnsi" w:hAnsiTheme="minorHAnsi"/>
        </w:rPr>
        <w:t xml:space="preserve">responsible for </w:t>
      </w:r>
      <w:r w:rsidR="002D53E7" w:rsidRPr="00582BB8">
        <w:rPr>
          <w:rFonts w:asciiTheme="minorHAnsi" w:hAnsiTheme="minorHAnsi"/>
        </w:rPr>
        <w:t xml:space="preserve">the development of NZRIS </w:t>
      </w:r>
      <w:r w:rsidR="00764617">
        <w:rPr>
          <w:rFonts w:asciiTheme="minorHAnsi" w:hAnsiTheme="minorHAnsi"/>
        </w:rPr>
        <w:t>in consultation with</w:t>
      </w:r>
      <w:r w:rsidR="002D53E7" w:rsidRPr="00582BB8">
        <w:rPr>
          <w:rFonts w:asciiTheme="minorHAnsi" w:hAnsiTheme="minorHAnsi"/>
        </w:rPr>
        <w:t xml:space="preserve"> the sector</w:t>
      </w:r>
      <w:r w:rsidR="00D84015">
        <w:rPr>
          <w:rFonts w:asciiTheme="minorHAnsi" w:hAnsiTheme="minorHAnsi"/>
        </w:rPr>
        <w:t xml:space="preserve">, and </w:t>
      </w:r>
      <w:r w:rsidR="007B7923">
        <w:rPr>
          <w:rFonts w:asciiTheme="minorHAnsi" w:hAnsiTheme="minorHAnsi"/>
        </w:rPr>
        <w:t>ensuring alignment</w:t>
      </w:r>
      <w:r w:rsidR="00D84015">
        <w:rPr>
          <w:rFonts w:asciiTheme="minorHAnsi" w:hAnsiTheme="minorHAnsi"/>
        </w:rPr>
        <w:t xml:space="preserve"> with </w:t>
      </w:r>
      <w:r w:rsidR="00D84015">
        <w:t>G</w:t>
      </w:r>
      <w:r w:rsidR="00D84015" w:rsidRPr="00831D2F">
        <w:t>overnment’s information and data management principles and the Government’s commitment to the Open Data Charter.</w:t>
      </w:r>
      <w:r w:rsidR="006F575F" w:rsidRPr="00831D2F">
        <w:rPr>
          <w:rStyle w:val="FootnoteReference"/>
        </w:rPr>
        <w:footnoteReference w:id="4"/>
      </w:r>
    </w:p>
    <w:p w:rsidR="00D753FE" w:rsidRDefault="00D753FE" w:rsidP="00D753FE">
      <w:pPr>
        <w:pStyle w:val="Heading1"/>
      </w:pPr>
      <w:bookmarkStart w:id="17" w:name="_Toc525550516"/>
      <w:bookmarkStart w:id="18" w:name="_Toc523484470"/>
      <w:bookmarkStart w:id="19" w:name="_Toc16602729"/>
      <w:r>
        <w:t>Purpose of the group</w:t>
      </w:r>
      <w:bookmarkEnd w:id="17"/>
      <w:bookmarkEnd w:id="18"/>
      <w:bookmarkEnd w:id="19"/>
    </w:p>
    <w:p w:rsidR="00984086" w:rsidRPr="00B91275" w:rsidRDefault="00984086" w:rsidP="00984086">
      <w:r w:rsidRPr="00B91275">
        <w:t>The N</w:t>
      </w:r>
      <w:r>
        <w:t>ZRIS Stewardship and Oversight Group (N</w:t>
      </w:r>
      <w:r w:rsidRPr="00B91275">
        <w:t>SOG</w:t>
      </w:r>
      <w:r>
        <w:t xml:space="preserve">) </w:t>
      </w:r>
      <w:r w:rsidR="00CE2DC8">
        <w:t xml:space="preserve">is </w:t>
      </w:r>
      <w:r w:rsidR="002D53E7">
        <w:t xml:space="preserve">a </w:t>
      </w:r>
      <w:r>
        <w:t xml:space="preserve">cross-sector, </w:t>
      </w:r>
      <w:r w:rsidR="002D53E7">
        <w:t>skills-based</w:t>
      </w:r>
      <w:r w:rsidR="00CE2DC8">
        <w:t xml:space="preserve"> </w:t>
      </w:r>
      <w:r w:rsidR="00383686">
        <w:t>stewardship</w:t>
      </w:r>
      <w:r w:rsidR="00CE2DC8">
        <w:t xml:space="preserve"> and oversight group for </w:t>
      </w:r>
      <w:r w:rsidR="00CE104D">
        <w:t>NZRIS</w:t>
      </w:r>
      <w:r w:rsidR="00CE2DC8">
        <w:t xml:space="preserve">. </w:t>
      </w:r>
      <w:r>
        <w:t>I</w:t>
      </w:r>
      <w:r w:rsidRPr="00B91275">
        <w:t>n the</w:t>
      </w:r>
      <w:r w:rsidRPr="008D3F67">
        <w:rPr>
          <w:i/>
        </w:rPr>
        <w:t xml:space="preserve"> National Research Information System: Overview</w:t>
      </w:r>
      <w:r>
        <w:rPr>
          <w:i/>
        </w:rPr>
        <w:t xml:space="preserve">, </w:t>
      </w:r>
      <w:r>
        <w:t xml:space="preserve">first released in </w:t>
      </w:r>
      <w:r w:rsidRPr="00B91275">
        <w:t>October 2017</w:t>
      </w:r>
      <w:r>
        <w:t xml:space="preserve">, MBIE signalled </w:t>
      </w:r>
      <w:r w:rsidRPr="00B91275">
        <w:t xml:space="preserve">that as </w:t>
      </w:r>
      <w:r>
        <w:t>NZRIS</w:t>
      </w:r>
      <w:r w:rsidRPr="00B91275">
        <w:t xml:space="preserve"> becomes operational:</w:t>
      </w:r>
      <w:r w:rsidR="00D93722" w:rsidRPr="00D93722">
        <w:rPr>
          <w:rStyle w:val="FootnoteReference"/>
          <w:i/>
        </w:rPr>
        <w:t xml:space="preserve"> </w:t>
      </w:r>
    </w:p>
    <w:p w:rsidR="00984086" w:rsidRPr="00B91275" w:rsidRDefault="00984086" w:rsidP="00984086">
      <w:pPr>
        <w:rPr>
          <w:i/>
        </w:rPr>
      </w:pPr>
      <w:r w:rsidRPr="00B91275">
        <w:rPr>
          <w:i/>
        </w:rPr>
        <w:t>“…an NRIS stewardship and oversight structure will be established. Oversight will be a shared endeavour between MBIE and the rest of the research, science and innovation sector, with a strong emphasis on strengthening partnerships with the Māori research community.”</w:t>
      </w:r>
      <w:r w:rsidR="00D93722" w:rsidRPr="00D93722">
        <w:rPr>
          <w:rStyle w:val="FootnoteReference"/>
          <w:i/>
        </w:rPr>
        <w:t xml:space="preserve"> </w:t>
      </w:r>
      <w:r w:rsidR="00D93722">
        <w:rPr>
          <w:rStyle w:val="FootnoteReference"/>
          <w:i/>
        </w:rPr>
        <w:footnoteReference w:id="5"/>
      </w:r>
      <w:r w:rsidR="0011415B" w:rsidRPr="0011415B">
        <w:rPr>
          <w:rStyle w:val="FootnoteReference"/>
          <w:i/>
        </w:rPr>
        <w:t xml:space="preserve"> </w:t>
      </w:r>
    </w:p>
    <w:p w:rsidR="00D753FE" w:rsidRDefault="00D753FE" w:rsidP="00582BB8">
      <w:pPr>
        <w:pStyle w:val="Default"/>
        <w:spacing w:after="120"/>
        <w:rPr>
          <w:sz w:val="22"/>
          <w:szCs w:val="22"/>
        </w:rPr>
      </w:pPr>
      <w:r>
        <w:rPr>
          <w:sz w:val="22"/>
          <w:szCs w:val="22"/>
        </w:rPr>
        <w:t xml:space="preserve">In conjunction with </w:t>
      </w:r>
      <w:r w:rsidR="0011415B">
        <w:rPr>
          <w:sz w:val="22"/>
          <w:szCs w:val="22"/>
        </w:rPr>
        <w:t>the wider Government data management principles</w:t>
      </w:r>
      <w:r>
        <w:rPr>
          <w:sz w:val="22"/>
          <w:szCs w:val="22"/>
        </w:rPr>
        <w:t xml:space="preserve">, </w:t>
      </w:r>
      <w:r w:rsidRPr="00831D2F">
        <w:rPr>
          <w:sz w:val="22"/>
          <w:szCs w:val="22"/>
        </w:rPr>
        <w:t>NSOG has a role in ensuring that the system</w:t>
      </w:r>
      <w:r w:rsidRPr="00B91275">
        <w:t xml:space="preserve"> is</w:t>
      </w:r>
      <w:r>
        <w:t xml:space="preserve"> </w:t>
      </w:r>
      <w:r>
        <w:rPr>
          <w:sz w:val="22"/>
          <w:szCs w:val="22"/>
        </w:rPr>
        <w:t>underpinned by the principles drawn from the 2016 Research, Science and Innovation Domain Plan</w:t>
      </w:r>
      <w:r w:rsidR="0011415B">
        <w:rPr>
          <w:sz w:val="22"/>
          <w:szCs w:val="22"/>
        </w:rPr>
        <w:t>. These principles are</w:t>
      </w:r>
      <w:r>
        <w:rPr>
          <w:sz w:val="22"/>
          <w:szCs w:val="22"/>
        </w:rPr>
        <w:t xml:space="preserve">: </w:t>
      </w:r>
    </w:p>
    <w:p w:rsidR="00D753FE" w:rsidRDefault="00D753FE" w:rsidP="00582BB8">
      <w:pPr>
        <w:pStyle w:val="Default"/>
        <w:spacing w:after="120"/>
        <w:ind w:left="567"/>
        <w:rPr>
          <w:sz w:val="22"/>
          <w:szCs w:val="22"/>
        </w:rPr>
      </w:pPr>
      <w:r>
        <w:rPr>
          <w:sz w:val="22"/>
          <w:szCs w:val="22"/>
        </w:rPr>
        <w:t xml:space="preserve">1. Provide a </w:t>
      </w:r>
      <w:r>
        <w:rPr>
          <w:b/>
          <w:bCs/>
          <w:sz w:val="22"/>
          <w:szCs w:val="22"/>
        </w:rPr>
        <w:t xml:space="preserve">system-wide view </w:t>
      </w:r>
      <w:r>
        <w:rPr>
          <w:sz w:val="22"/>
          <w:szCs w:val="22"/>
        </w:rPr>
        <w:t xml:space="preserve">of research, science and innovation information </w:t>
      </w:r>
    </w:p>
    <w:p w:rsidR="00D753FE" w:rsidRDefault="00D753FE" w:rsidP="00582BB8">
      <w:pPr>
        <w:pStyle w:val="Default"/>
        <w:spacing w:after="120"/>
        <w:ind w:left="567"/>
        <w:rPr>
          <w:sz w:val="22"/>
          <w:szCs w:val="22"/>
        </w:rPr>
      </w:pPr>
      <w:r>
        <w:rPr>
          <w:sz w:val="22"/>
          <w:szCs w:val="22"/>
        </w:rPr>
        <w:t xml:space="preserve">2. Ensure </w:t>
      </w:r>
      <w:r>
        <w:rPr>
          <w:b/>
          <w:bCs/>
          <w:sz w:val="22"/>
          <w:szCs w:val="22"/>
        </w:rPr>
        <w:t xml:space="preserve">open </w:t>
      </w:r>
      <w:r>
        <w:rPr>
          <w:sz w:val="22"/>
          <w:szCs w:val="22"/>
        </w:rPr>
        <w:t xml:space="preserve">data which is easily </w:t>
      </w:r>
      <w:r>
        <w:rPr>
          <w:b/>
          <w:bCs/>
          <w:sz w:val="22"/>
          <w:szCs w:val="22"/>
        </w:rPr>
        <w:t xml:space="preserve">accessible </w:t>
      </w:r>
      <w:r>
        <w:rPr>
          <w:sz w:val="22"/>
          <w:szCs w:val="22"/>
        </w:rPr>
        <w:t xml:space="preserve">and widely used </w:t>
      </w:r>
    </w:p>
    <w:p w:rsidR="00D753FE" w:rsidRDefault="00D753FE" w:rsidP="00582BB8">
      <w:pPr>
        <w:pStyle w:val="Default"/>
        <w:spacing w:after="120"/>
        <w:ind w:left="567"/>
        <w:rPr>
          <w:sz w:val="22"/>
          <w:szCs w:val="22"/>
        </w:rPr>
      </w:pPr>
      <w:r>
        <w:rPr>
          <w:sz w:val="22"/>
          <w:szCs w:val="22"/>
        </w:rPr>
        <w:t xml:space="preserve">3. </w:t>
      </w:r>
      <w:r>
        <w:rPr>
          <w:b/>
          <w:bCs/>
          <w:sz w:val="22"/>
          <w:szCs w:val="22"/>
        </w:rPr>
        <w:t xml:space="preserve">Protect </w:t>
      </w:r>
      <w:r>
        <w:rPr>
          <w:sz w:val="22"/>
          <w:szCs w:val="22"/>
        </w:rPr>
        <w:t xml:space="preserve">personal and commercially sensitive data </w:t>
      </w:r>
    </w:p>
    <w:p w:rsidR="00D753FE" w:rsidRDefault="00D753FE" w:rsidP="00582BB8">
      <w:pPr>
        <w:pStyle w:val="Default"/>
        <w:spacing w:after="120"/>
        <w:ind w:left="567"/>
        <w:rPr>
          <w:sz w:val="22"/>
          <w:szCs w:val="22"/>
        </w:rPr>
      </w:pPr>
      <w:r>
        <w:rPr>
          <w:sz w:val="22"/>
          <w:szCs w:val="22"/>
        </w:rPr>
        <w:t xml:space="preserve">4. Enable the </w:t>
      </w:r>
      <w:r>
        <w:rPr>
          <w:b/>
          <w:bCs/>
          <w:sz w:val="22"/>
          <w:szCs w:val="22"/>
        </w:rPr>
        <w:t xml:space="preserve">reuse </w:t>
      </w:r>
      <w:r>
        <w:rPr>
          <w:sz w:val="22"/>
          <w:szCs w:val="22"/>
        </w:rPr>
        <w:t xml:space="preserve">of data </w:t>
      </w:r>
    </w:p>
    <w:p w:rsidR="00D753FE" w:rsidRDefault="00D753FE" w:rsidP="00582BB8">
      <w:pPr>
        <w:pStyle w:val="Default"/>
        <w:spacing w:after="120"/>
        <w:ind w:left="567"/>
        <w:rPr>
          <w:sz w:val="22"/>
          <w:szCs w:val="22"/>
        </w:rPr>
      </w:pPr>
      <w:r>
        <w:rPr>
          <w:sz w:val="22"/>
          <w:szCs w:val="22"/>
        </w:rPr>
        <w:t xml:space="preserve">5. Reduce </w:t>
      </w:r>
      <w:r>
        <w:rPr>
          <w:b/>
          <w:bCs/>
          <w:sz w:val="22"/>
          <w:szCs w:val="22"/>
        </w:rPr>
        <w:t xml:space="preserve">collection and reporting burden </w:t>
      </w:r>
    </w:p>
    <w:p w:rsidR="00D753FE" w:rsidRDefault="00D753FE" w:rsidP="00582BB8">
      <w:pPr>
        <w:pStyle w:val="Default"/>
        <w:spacing w:after="120"/>
        <w:ind w:left="567"/>
        <w:rPr>
          <w:sz w:val="22"/>
          <w:szCs w:val="22"/>
        </w:rPr>
      </w:pPr>
      <w:r>
        <w:rPr>
          <w:sz w:val="22"/>
          <w:szCs w:val="22"/>
        </w:rPr>
        <w:t xml:space="preserve">6. Ensure data is </w:t>
      </w:r>
      <w:r>
        <w:rPr>
          <w:b/>
          <w:bCs/>
          <w:sz w:val="22"/>
          <w:szCs w:val="22"/>
        </w:rPr>
        <w:t>trusted</w:t>
      </w:r>
      <w:r>
        <w:rPr>
          <w:sz w:val="22"/>
          <w:szCs w:val="22"/>
        </w:rPr>
        <w:t xml:space="preserve">, </w:t>
      </w:r>
      <w:r>
        <w:rPr>
          <w:b/>
          <w:bCs/>
          <w:sz w:val="22"/>
          <w:szCs w:val="22"/>
        </w:rPr>
        <w:t xml:space="preserve">authoritative </w:t>
      </w:r>
      <w:r>
        <w:rPr>
          <w:sz w:val="22"/>
          <w:szCs w:val="22"/>
        </w:rPr>
        <w:t xml:space="preserve">and </w:t>
      </w:r>
      <w:r>
        <w:rPr>
          <w:b/>
          <w:bCs/>
          <w:sz w:val="22"/>
          <w:szCs w:val="22"/>
        </w:rPr>
        <w:t xml:space="preserve">well-managed </w:t>
      </w:r>
    </w:p>
    <w:p w:rsidR="00D753FE" w:rsidRPr="004C2751" w:rsidRDefault="00D753FE" w:rsidP="00582BB8">
      <w:pPr>
        <w:pStyle w:val="Default"/>
        <w:spacing w:after="120"/>
        <w:ind w:left="567"/>
        <w:rPr>
          <w:sz w:val="22"/>
          <w:szCs w:val="22"/>
        </w:rPr>
      </w:pPr>
      <w:r>
        <w:rPr>
          <w:sz w:val="22"/>
          <w:szCs w:val="22"/>
        </w:rPr>
        <w:lastRenderedPageBreak/>
        <w:t xml:space="preserve">7. Enable </w:t>
      </w:r>
      <w:r>
        <w:rPr>
          <w:b/>
          <w:bCs/>
          <w:sz w:val="22"/>
          <w:szCs w:val="22"/>
        </w:rPr>
        <w:t xml:space="preserve">easy and automatic </w:t>
      </w:r>
      <w:r>
        <w:rPr>
          <w:sz w:val="22"/>
          <w:szCs w:val="22"/>
        </w:rPr>
        <w:t xml:space="preserve">movement of data between systems. </w:t>
      </w:r>
    </w:p>
    <w:p w:rsidR="005B4630" w:rsidRDefault="005B4630" w:rsidP="00D753FE">
      <w:r>
        <w:t xml:space="preserve">NSOG will operate a </w:t>
      </w:r>
      <w:r w:rsidR="00D753FE" w:rsidRPr="00B91275">
        <w:t xml:space="preserve">shared stewardship and oversight model </w:t>
      </w:r>
      <w:r w:rsidR="00D753FE">
        <w:t xml:space="preserve">for </w:t>
      </w:r>
      <w:r w:rsidR="00CE104D">
        <w:t>NZRIS</w:t>
      </w:r>
      <w:r w:rsidR="00E0300A" w:rsidRPr="00E0300A">
        <w:t xml:space="preserve"> </w:t>
      </w:r>
      <w:r w:rsidR="00E0300A">
        <w:t xml:space="preserve">that </w:t>
      </w:r>
      <w:r w:rsidR="00E0300A" w:rsidRPr="004C2751">
        <w:t xml:space="preserve">will </w:t>
      </w:r>
      <w:r w:rsidR="00E0300A">
        <w:t xml:space="preserve">support </w:t>
      </w:r>
      <w:r w:rsidR="00E0300A" w:rsidRPr="004C2751">
        <w:t>the appropriate and beneficial use of the data</w:t>
      </w:r>
      <w:r>
        <w:t xml:space="preserve">. This </w:t>
      </w:r>
      <w:r w:rsidR="00E0300A">
        <w:t xml:space="preserve">model </w:t>
      </w:r>
      <w:r>
        <w:t>will:</w:t>
      </w:r>
    </w:p>
    <w:p w:rsidR="005B4630" w:rsidRPr="00582BB8" w:rsidRDefault="00E0300A" w:rsidP="00582BB8">
      <w:pPr>
        <w:numPr>
          <w:ilvl w:val="0"/>
          <w:numId w:val="1"/>
        </w:numPr>
        <w:spacing w:before="0" w:after="200" w:line="276" w:lineRule="auto"/>
        <w:contextualSpacing/>
        <w:rPr>
          <w:rFonts w:eastAsia="Times New Roman"/>
        </w:rPr>
      </w:pPr>
      <w:r w:rsidRPr="00582BB8">
        <w:rPr>
          <w:rFonts w:eastAsia="Times New Roman"/>
        </w:rPr>
        <w:t xml:space="preserve">be </w:t>
      </w:r>
      <w:r w:rsidR="00D753FE" w:rsidRPr="00582BB8">
        <w:rPr>
          <w:rFonts w:eastAsia="Times New Roman"/>
        </w:rPr>
        <w:t>resilient and adaptable</w:t>
      </w:r>
      <w:r w:rsidRPr="00582BB8">
        <w:rPr>
          <w:rFonts w:eastAsia="Times New Roman"/>
        </w:rPr>
        <w:t xml:space="preserve"> to reflect the iterative nature of NZRIS </w:t>
      </w:r>
      <w:r w:rsidR="00D753FE" w:rsidRPr="00582BB8">
        <w:rPr>
          <w:rFonts w:eastAsia="Times New Roman"/>
        </w:rPr>
        <w:t xml:space="preserve">  </w:t>
      </w:r>
    </w:p>
    <w:p w:rsidR="00E0300A" w:rsidRPr="00582BB8" w:rsidRDefault="00D753FE" w:rsidP="00582BB8">
      <w:pPr>
        <w:numPr>
          <w:ilvl w:val="0"/>
          <w:numId w:val="1"/>
        </w:numPr>
        <w:spacing w:before="0" w:after="200" w:line="276" w:lineRule="auto"/>
        <w:contextualSpacing/>
        <w:rPr>
          <w:rFonts w:eastAsia="Times New Roman"/>
        </w:rPr>
      </w:pPr>
      <w:r w:rsidRPr="00582BB8">
        <w:rPr>
          <w:rFonts w:eastAsia="Times New Roman"/>
        </w:rPr>
        <w:t xml:space="preserve">support the opportunity for standard ways of working that reflect best practice and can be applied to all data included within </w:t>
      </w:r>
      <w:r w:rsidR="00CE104D" w:rsidRPr="00582BB8">
        <w:rPr>
          <w:rFonts w:eastAsia="Times New Roman"/>
        </w:rPr>
        <w:t>NZRIS</w:t>
      </w:r>
      <w:r w:rsidR="00CE2DC8" w:rsidRPr="00582BB8">
        <w:rPr>
          <w:rFonts w:eastAsia="Times New Roman"/>
        </w:rPr>
        <w:t xml:space="preserve">  </w:t>
      </w:r>
    </w:p>
    <w:p w:rsidR="00E0300A" w:rsidRPr="00582BB8" w:rsidRDefault="00E0300A" w:rsidP="00582BB8">
      <w:pPr>
        <w:numPr>
          <w:ilvl w:val="0"/>
          <w:numId w:val="1"/>
        </w:numPr>
        <w:spacing w:before="0" w:after="200" w:line="276" w:lineRule="auto"/>
        <w:contextualSpacing/>
        <w:rPr>
          <w:rFonts w:eastAsia="Times New Roman"/>
        </w:rPr>
      </w:pPr>
      <w:r w:rsidRPr="00582BB8">
        <w:rPr>
          <w:rFonts w:eastAsia="Times New Roman"/>
        </w:rPr>
        <w:t xml:space="preserve">allow </w:t>
      </w:r>
      <w:r w:rsidR="00D753FE" w:rsidRPr="00582BB8">
        <w:rPr>
          <w:rFonts w:eastAsia="Times New Roman"/>
        </w:rPr>
        <w:t xml:space="preserve">NSOG </w:t>
      </w:r>
      <w:r w:rsidRPr="00582BB8">
        <w:rPr>
          <w:rFonts w:eastAsia="Times New Roman"/>
        </w:rPr>
        <w:t>to</w:t>
      </w:r>
      <w:r w:rsidR="00D753FE" w:rsidRPr="00582BB8">
        <w:rPr>
          <w:rFonts w:eastAsia="Times New Roman"/>
        </w:rPr>
        <w:t xml:space="preserve"> act as a sounding board for ongoing development work on </w:t>
      </w:r>
      <w:r w:rsidR="00CE104D" w:rsidRPr="00582BB8">
        <w:rPr>
          <w:rFonts w:eastAsia="Times New Roman"/>
        </w:rPr>
        <w:t>NZRIS</w:t>
      </w:r>
    </w:p>
    <w:p w:rsidR="0008711E" w:rsidRPr="00582BB8" w:rsidRDefault="00E0300A" w:rsidP="00582BB8">
      <w:pPr>
        <w:numPr>
          <w:ilvl w:val="0"/>
          <w:numId w:val="1"/>
        </w:numPr>
        <w:spacing w:before="100" w:beforeAutospacing="1" w:after="100" w:afterAutospacing="1" w:line="276" w:lineRule="auto"/>
        <w:contextualSpacing/>
      </w:pPr>
      <w:r w:rsidRPr="00582BB8">
        <w:rPr>
          <w:rFonts w:eastAsia="Times New Roman"/>
        </w:rPr>
        <w:t>ensure</w:t>
      </w:r>
      <w:r w:rsidR="00D04956" w:rsidRPr="00582BB8">
        <w:rPr>
          <w:rFonts w:eastAsia="Times New Roman"/>
        </w:rPr>
        <w:t xml:space="preserve"> </w:t>
      </w:r>
      <w:r w:rsidR="00D753FE" w:rsidRPr="00582BB8">
        <w:rPr>
          <w:rFonts w:eastAsia="Times New Roman"/>
        </w:rPr>
        <w:t xml:space="preserve">NSOG </w:t>
      </w:r>
      <w:r w:rsidRPr="00582BB8">
        <w:rPr>
          <w:rFonts w:eastAsia="Times New Roman"/>
        </w:rPr>
        <w:t>is</w:t>
      </w:r>
      <w:r w:rsidR="00D753FE" w:rsidRPr="00582BB8">
        <w:rPr>
          <w:rFonts w:eastAsia="Times New Roman"/>
        </w:rPr>
        <w:t xml:space="preserve"> accountable to those sharing data and the wider community of users through regular reporting</w:t>
      </w:r>
    </w:p>
    <w:p w:rsidR="0008711E" w:rsidRPr="00A65372" w:rsidRDefault="0008711E" w:rsidP="00582BB8">
      <w:pPr>
        <w:numPr>
          <w:ilvl w:val="0"/>
          <w:numId w:val="1"/>
        </w:numPr>
        <w:spacing w:before="100" w:beforeAutospacing="1" w:after="100" w:afterAutospacing="1" w:line="276" w:lineRule="auto"/>
        <w:contextualSpacing/>
      </w:pPr>
      <w:r w:rsidRPr="00A65372">
        <w:t xml:space="preserve">will </w:t>
      </w:r>
      <w:r>
        <w:t xml:space="preserve">ensure NSOG </w:t>
      </w:r>
      <w:r w:rsidRPr="00A65372">
        <w:t xml:space="preserve">support </w:t>
      </w:r>
      <w:r>
        <w:t>NZRIS</w:t>
      </w:r>
      <w:r w:rsidRPr="00A65372">
        <w:t xml:space="preserve"> to reflect the following goals in data governance</w:t>
      </w:r>
      <w:r w:rsidR="00984D23">
        <w:t>, which are</w:t>
      </w:r>
      <w:r w:rsidRPr="00A65372">
        <w:t>:</w:t>
      </w:r>
    </w:p>
    <w:p w:rsidR="0008711E" w:rsidRPr="007C152D" w:rsidRDefault="0008711E" w:rsidP="00582BB8">
      <w:pPr>
        <w:pStyle w:val="ListParagraph"/>
        <w:numPr>
          <w:ilvl w:val="1"/>
          <w:numId w:val="1"/>
        </w:numPr>
        <w:spacing w:before="100" w:beforeAutospacing="1" w:after="100" w:afterAutospacing="1"/>
        <w:rPr>
          <w:rFonts w:ascii="Calibri" w:hAnsi="Calibri"/>
          <w:sz w:val="22"/>
          <w:szCs w:val="22"/>
        </w:rPr>
      </w:pPr>
      <w:r>
        <w:rPr>
          <w:rFonts w:ascii="Calibri" w:hAnsi="Calibri"/>
          <w:sz w:val="22"/>
          <w:szCs w:val="22"/>
        </w:rPr>
        <w:t>Stewardship</w:t>
      </w:r>
    </w:p>
    <w:p w:rsidR="0008711E" w:rsidRPr="007C152D" w:rsidRDefault="0008711E" w:rsidP="00582BB8">
      <w:pPr>
        <w:pStyle w:val="ListParagraph"/>
        <w:numPr>
          <w:ilvl w:val="1"/>
          <w:numId w:val="1"/>
        </w:numPr>
        <w:spacing w:before="100" w:beforeAutospacing="1" w:after="100" w:afterAutospacing="1"/>
        <w:rPr>
          <w:rFonts w:ascii="Calibri" w:hAnsi="Calibri"/>
          <w:sz w:val="22"/>
          <w:szCs w:val="22"/>
        </w:rPr>
      </w:pPr>
      <w:r w:rsidRPr="007C152D">
        <w:rPr>
          <w:rFonts w:ascii="Calibri" w:hAnsi="Calibri"/>
          <w:sz w:val="22"/>
          <w:szCs w:val="22"/>
        </w:rPr>
        <w:t>Integrity</w:t>
      </w:r>
    </w:p>
    <w:p w:rsidR="0008711E" w:rsidRPr="007C152D" w:rsidRDefault="0008711E" w:rsidP="00582BB8">
      <w:pPr>
        <w:pStyle w:val="ListParagraph"/>
        <w:numPr>
          <w:ilvl w:val="1"/>
          <w:numId w:val="1"/>
        </w:numPr>
        <w:spacing w:before="100" w:beforeAutospacing="1" w:after="100" w:afterAutospacing="1"/>
        <w:rPr>
          <w:rFonts w:ascii="Calibri" w:hAnsi="Calibri"/>
          <w:sz w:val="22"/>
          <w:szCs w:val="22"/>
        </w:rPr>
      </w:pPr>
      <w:r w:rsidRPr="007C152D">
        <w:rPr>
          <w:rFonts w:ascii="Calibri" w:hAnsi="Calibri"/>
          <w:sz w:val="22"/>
          <w:szCs w:val="22"/>
        </w:rPr>
        <w:t>Transparency</w:t>
      </w:r>
    </w:p>
    <w:p w:rsidR="0008711E" w:rsidRPr="007C152D" w:rsidRDefault="0008711E" w:rsidP="00582BB8">
      <w:pPr>
        <w:pStyle w:val="ListParagraph"/>
        <w:numPr>
          <w:ilvl w:val="1"/>
          <w:numId w:val="1"/>
        </w:numPr>
        <w:spacing w:before="100" w:beforeAutospacing="1" w:after="100" w:afterAutospacing="1"/>
        <w:rPr>
          <w:rFonts w:ascii="Calibri" w:hAnsi="Calibri"/>
          <w:sz w:val="22"/>
          <w:szCs w:val="22"/>
        </w:rPr>
      </w:pPr>
      <w:r w:rsidRPr="007C152D">
        <w:rPr>
          <w:rFonts w:ascii="Calibri" w:hAnsi="Calibri"/>
          <w:sz w:val="22"/>
          <w:szCs w:val="22"/>
        </w:rPr>
        <w:t>Auditability</w:t>
      </w:r>
    </w:p>
    <w:p w:rsidR="0008711E" w:rsidRDefault="0008711E" w:rsidP="00582BB8">
      <w:pPr>
        <w:pStyle w:val="ListParagraph"/>
        <w:numPr>
          <w:ilvl w:val="1"/>
          <w:numId w:val="1"/>
        </w:numPr>
        <w:spacing w:before="100" w:beforeAutospacing="1" w:after="100" w:afterAutospacing="1"/>
        <w:rPr>
          <w:rFonts w:ascii="Calibri" w:hAnsi="Calibri"/>
          <w:sz w:val="22"/>
          <w:szCs w:val="22"/>
        </w:rPr>
      </w:pPr>
      <w:r w:rsidRPr="007C152D">
        <w:rPr>
          <w:rFonts w:ascii="Calibri" w:hAnsi="Calibri"/>
          <w:sz w:val="22"/>
          <w:szCs w:val="22"/>
        </w:rPr>
        <w:t>Accountability</w:t>
      </w:r>
    </w:p>
    <w:p w:rsidR="00764617" w:rsidRPr="007C152D" w:rsidRDefault="00764617" w:rsidP="00582BB8">
      <w:pPr>
        <w:pStyle w:val="ListParagraph"/>
        <w:numPr>
          <w:ilvl w:val="1"/>
          <w:numId w:val="1"/>
        </w:numPr>
        <w:spacing w:before="100" w:beforeAutospacing="1" w:after="100" w:afterAutospacing="1"/>
        <w:rPr>
          <w:rFonts w:ascii="Calibri" w:hAnsi="Calibri"/>
          <w:sz w:val="22"/>
          <w:szCs w:val="22"/>
        </w:rPr>
      </w:pPr>
      <w:r>
        <w:rPr>
          <w:rFonts w:ascii="Calibri" w:hAnsi="Calibri"/>
          <w:sz w:val="22"/>
          <w:szCs w:val="22"/>
        </w:rPr>
        <w:t>Efficiency and cost effectiveness</w:t>
      </w:r>
    </w:p>
    <w:p w:rsidR="0008711E" w:rsidRPr="007C152D" w:rsidRDefault="0008711E" w:rsidP="00582BB8">
      <w:pPr>
        <w:pStyle w:val="ListParagraph"/>
        <w:numPr>
          <w:ilvl w:val="1"/>
          <w:numId w:val="1"/>
        </w:numPr>
        <w:spacing w:before="100" w:beforeAutospacing="1" w:after="100" w:afterAutospacing="1"/>
        <w:rPr>
          <w:rFonts w:ascii="Calibri" w:hAnsi="Calibri"/>
          <w:sz w:val="22"/>
          <w:szCs w:val="22"/>
        </w:rPr>
      </w:pPr>
      <w:r w:rsidRPr="007C152D">
        <w:rPr>
          <w:rFonts w:ascii="Calibri" w:hAnsi="Calibri"/>
          <w:sz w:val="22"/>
          <w:szCs w:val="22"/>
        </w:rPr>
        <w:t>Robust checks and balances</w:t>
      </w:r>
    </w:p>
    <w:p w:rsidR="0008711E" w:rsidRPr="007C152D" w:rsidRDefault="0008711E" w:rsidP="00582BB8">
      <w:pPr>
        <w:pStyle w:val="ListParagraph"/>
        <w:numPr>
          <w:ilvl w:val="1"/>
          <w:numId w:val="1"/>
        </w:numPr>
        <w:spacing w:before="100" w:beforeAutospacing="1" w:after="100" w:afterAutospacing="1"/>
        <w:rPr>
          <w:rFonts w:ascii="Calibri" w:hAnsi="Calibri"/>
          <w:sz w:val="22"/>
          <w:szCs w:val="22"/>
        </w:rPr>
      </w:pPr>
      <w:r>
        <w:rPr>
          <w:rFonts w:ascii="Calibri" w:hAnsi="Calibri"/>
          <w:sz w:val="22"/>
          <w:szCs w:val="22"/>
        </w:rPr>
        <w:t>S</w:t>
      </w:r>
      <w:r w:rsidRPr="007C152D">
        <w:rPr>
          <w:rFonts w:ascii="Calibri" w:hAnsi="Calibri"/>
          <w:sz w:val="22"/>
          <w:szCs w:val="22"/>
        </w:rPr>
        <w:t>ocial and cultural licence</w:t>
      </w:r>
    </w:p>
    <w:p w:rsidR="0008711E" w:rsidRPr="007C152D" w:rsidRDefault="0008711E" w:rsidP="00582BB8">
      <w:pPr>
        <w:pStyle w:val="ListParagraph"/>
        <w:numPr>
          <w:ilvl w:val="1"/>
          <w:numId w:val="1"/>
        </w:numPr>
        <w:spacing w:before="100" w:beforeAutospacing="1" w:after="100" w:afterAutospacing="1"/>
        <w:rPr>
          <w:rFonts w:ascii="Calibri" w:hAnsi="Calibri"/>
          <w:sz w:val="22"/>
          <w:szCs w:val="22"/>
        </w:rPr>
      </w:pPr>
      <w:r>
        <w:rPr>
          <w:rFonts w:ascii="Calibri" w:hAnsi="Calibri"/>
          <w:sz w:val="22"/>
          <w:szCs w:val="22"/>
        </w:rPr>
        <w:t>I</w:t>
      </w:r>
      <w:r w:rsidRPr="007C152D">
        <w:rPr>
          <w:rFonts w:ascii="Calibri" w:hAnsi="Calibri"/>
          <w:sz w:val="22"/>
          <w:szCs w:val="22"/>
        </w:rPr>
        <w:t>ndigenous data sovereignty</w:t>
      </w:r>
    </w:p>
    <w:p w:rsidR="00D753FE" w:rsidRPr="004512B9" w:rsidRDefault="0008711E" w:rsidP="00582BB8">
      <w:pPr>
        <w:pStyle w:val="ListParagraph"/>
        <w:numPr>
          <w:ilvl w:val="1"/>
          <w:numId w:val="1"/>
        </w:numPr>
        <w:spacing w:before="100" w:beforeAutospacing="1" w:after="100" w:afterAutospacing="1"/>
      </w:pPr>
      <w:r>
        <w:rPr>
          <w:rFonts w:ascii="Calibri" w:hAnsi="Calibri"/>
          <w:sz w:val="22"/>
          <w:szCs w:val="22"/>
        </w:rPr>
        <w:t>E</w:t>
      </w:r>
      <w:r w:rsidRPr="007C152D">
        <w:rPr>
          <w:rFonts w:ascii="Calibri" w:hAnsi="Calibri"/>
          <w:sz w:val="22"/>
          <w:szCs w:val="22"/>
        </w:rPr>
        <w:t>thical integrity</w:t>
      </w:r>
    </w:p>
    <w:p w:rsidR="00D753FE" w:rsidRDefault="00D753FE" w:rsidP="00D753FE">
      <w:pPr>
        <w:pStyle w:val="Heading1"/>
      </w:pPr>
      <w:bookmarkStart w:id="20" w:name="_Toc525550517"/>
      <w:bookmarkStart w:id="21" w:name="_Toc523484471"/>
      <w:bookmarkStart w:id="22" w:name="_Toc16602730"/>
      <w:r w:rsidRPr="00A425E9">
        <w:t>Functions</w:t>
      </w:r>
      <w:bookmarkEnd w:id="20"/>
      <w:bookmarkEnd w:id="21"/>
      <w:bookmarkEnd w:id="22"/>
    </w:p>
    <w:p w:rsidR="00D753FE" w:rsidRPr="00B91275" w:rsidRDefault="00D753FE" w:rsidP="00D753FE">
      <w:r w:rsidRPr="00B91275">
        <w:t xml:space="preserve">The group will provide </w:t>
      </w:r>
      <w:r>
        <w:t xml:space="preserve">stewardship and </w:t>
      </w:r>
      <w:r w:rsidRPr="00B91275">
        <w:t xml:space="preserve">oversight of the following areas of </w:t>
      </w:r>
      <w:r w:rsidR="00CE104D">
        <w:t>NZRIS</w:t>
      </w:r>
      <w:r>
        <w:t xml:space="preserve"> operations</w:t>
      </w:r>
      <w:r w:rsidRPr="00B91275">
        <w:t>:</w:t>
      </w:r>
    </w:p>
    <w:p w:rsidR="00D753FE" w:rsidRDefault="00D753FE" w:rsidP="00D753FE">
      <w:pPr>
        <w:numPr>
          <w:ilvl w:val="0"/>
          <w:numId w:val="1"/>
        </w:numPr>
        <w:spacing w:before="0" w:after="200" w:line="276" w:lineRule="auto"/>
        <w:contextualSpacing/>
        <w:rPr>
          <w:rFonts w:eastAsia="Times New Roman"/>
        </w:rPr>
      </w:pPr>
      <w:r>
        <w:rPr>
          <w:rFonts w:eastAsia="Times New Roman"/>
        </w:rPr>
        <w:t xml:space="preserve">Revisions to the </w:t>
      </w:r>
      <w:r w:rsidR="00CE104D">
        <w:rPr>
          <w:rFonts w:eastAsia="Times New Roman"/>
        </w:rPr>
        <w:t>NZRIS</w:t>
      </w:r>
      <w:r>
        <w:rPr>
          <w:rFonts w:eastAsia="Times New Roman"/>
        </w:rPr>
        <w:t xml:space="preserve"> Data Specifications</w:t>
      </w:r>
    </w:p>
    <w:p w:rsidR="00D753FE" w:rsidRDefault="00D753FE" w:rsidP="00D753FE">
      <w:pPr>
        <w:numPr>
          <w:ilvl w:val="0"/>
          <w:numId w:val="1"/>
        </w:numPr>
        <w:spacing w:before="0" w:after="200" w:line="276" w:lineRule="auto"/>
        <w:contextualSpacing/>
        <w:rPr>
          <w:rFonts w:eastAsia="Times New Roman"/>
        </w:rPr>
      </w:pPr>
      <w:r>
        <w:rPr>
          <w:rFonts w:eastAsia="Times New Roman"/>
        </w:rPr>
        <w:t>Changes to the data transfer model and data transfer protocols</w:t>
      </w:r>
    </w:p>
    <w:p w:rsidR="00D753FE" w:rsidRDefault="00D753FE" w:rsidP="00D753FE">
      <w:pPr>
        <w:numPr>
          <w:ilvl w:val="0"/>
          <w:numId w:val="1"/>
        </w:numPr>
        <w:spacing w:before="0" w:after="200" w:line="276" w:lineRule="auto"/>
        <w:contextualSpacing/>
        <w:rPr>
          <w:rFonts w:eastAsia="Times New Roman"/>
        </w:rPr>
      </w:pPr>
      <w:r>
        <w:rPr>
          <w:rFonts w:eastAsia="Times New Roman"/>
        </w:rPr>
        <w:t>Access protocols and user management (including creation of Authorised Users)</w:t>
      </w:r>
    </w:p>
    <w:p w:rsidR="00D753FE" w:rsidRDefault="00D753FE" w:rsidP="00D753FE">
      <w:pPr>
        <w:numPr>
          <w:ilvl w:val="0"/>
          <w:numId w:val="1"/>
        </w:numPr>
        <w:spacing w:before="0" w:after="200" w:line="276" w:lineRule="auto"/>
        <w:contextualSpacing/>
        <w:rPr>
          <w:rFonts w:eastAsia="Times New Roman"/>
        </w:rPr>
      </w:pPr>
      <w:r>
        <w:rPr>
          <w:rFonts w:eastAsia="Times New Roman"/>
        </w:rPr>
        <w:t>Data security and privacy standards</w:t>
      </w:r>
    </w:p>
    <w:p w:rsidR="00D753FE" w:rsidRPr="00582BB8" w:rsidRDefault="00D753FE" w:rsidP="00582BB8">
      <w:pPr>
        <w:numPr>
          <w:ilvl w:val="0"/>
          <w:numId w:val="1"/>
        </w:numPr>
        <w:spacing w:before="0" w:after="200" w:line="276" w:lineRule="auto"/>
        <w:ind w:left="714" w:hanging="357"/>
      </w:pPr>
      <w:r w:rsidRPr="00A63D56">
        <w:t>Standard processes (e</w:t>
      </w:r>
      <w:r w:rsidR="00F81D26">
        <w:t>.</w:t>
      </w:r>
      <w:r w:rsidRPr="00A63D56">
        <w:t>g</w:t>
      </w:r>
      <w:r w:rsidR="00F81D26">
        <w:t>.</w:t>
      </w:r>
      <w:r w:rsidRPr="00A63D56">
        <w:t xml:space="preserve"> business rules</w:t>
      </w:r>
      <w:r w:rsidR="00F81D26">
        <w:t xml:space="preserve"> and standard rules of operation</w:t>
      </w:r>
      <w:r w:rsidRPr="00A63D56">
        <w:t>)</w:t>
      </w:r>
    </w:p>
    <w:p w:rsidR="00F81D26" w:rsidRDefault="00D753FE" w:rsidP="00D753FE">
      <w:r>
        <w:t xml:space="preserve">NSOG will monitor and review the operation of </w:t>
      </w:r>
      <w:r w:rsidR="00CE104D">
        <w:t>NZRIS</w:t>
      </w:r>
      <w:r>
        <w:t xml:space="preserve"> in relation to these functions as needed.  </w:t>
      </w:r>
    </w:p>
    <w:p w:rsidR="00D753FE" w:rsidRDefault="00D753FE" w:rsidP="00D753FE">
      <w:r>
        <w:t xml:space="preserve">In the event of any dispute or complaint concerning these matters, NSOG will consult with MBIE as </w:t>
      </w:r>
      <w:r w:rsidR="00CE104D">
        <w:t>NZRIS</w:t>
      </w:r>
      <w:r>
        <w:t xml:space="preserve"> sponsor and host to address the dispute. NSOG may also, where parties agree, provide advice and mediate where a dispute is between MBIE and another </w:t>
      </w:r>
      <w:r w:rsidR="00CE104D">
        <w:t>NZRIS</w:t>
      </w:r>
      <w:r>
        <w:t xml:space="preserve"> participant.</w:t>
      </w:r>
    </w:p>
    <w:p w:rsidR="00D753FE" w:rsidRDefault="00D753FE" w:rsidP="00D64661">
      <w:r>
        <w:t xml:space="preserve">NSOG </w:t>
      </w:r>
      <w:r w:rsidRPr="00B91275">
        <w:t xml:space="preserve">will seek </w:t>
      </w:r>
      <w:r>
        <w:t xml:space="preserve">to build </w:t>
      </w:r>
      <w:r w:rsidRPr="00B91275">
        <w:t>consensus</w:t>
      </w:r>
      <w:r>
        <w:t xml:space="preserve"> in relation to matters within its ambit. NSOG</w:t>
      </w:r>
      <w:r w:rsidRPr="00B91275">
        <w:t xml:space="preserve"> will have autonomy to make decisions over matters concerning shared stewardship </w:t>
      </w:r>
      <w:r>
        <w:t xml:space="preserve">and oversight </w:t>
      </w:r>
      <w:r w:rsidRPr="00B91275">
        <w:t xml:space="preserve">of data. </w:t>
      </w:r>
      <w:r>
        <w:t>It</w:t>
      </w:r>
      <w:r w:rsidRPr="00B91275">
        <w:t xml:space="preserve"> will take on these functions incrementally so as to ensure the </w:t>
      </w:r>
      <w:r>
        <w:t>group</w:t>
      </w:r>
      <w:r w:rsidRPr="00B91275">
        <w:t xml:space="preserve"> </w:t>
      </w:r>
      <w:r>
        <w:t>maintains</w:t>
      </w:r>
      <w:r w:rsidRPr="00B91275">
        <w:t xml:space="preserve"> the trust and confidence of </w:t>
      </w:r>
      <w:r w:rsidR="00CE104D">
        <w:t>NZRIS</w:t>
      </w:r>
      <w:r w:rsidRPr="00B91275">
        <w:t xml:space="preserve"> participants.</w:t>
      </w:r>
    </w:p>
    <w:p w:rsidR="0008711E" w:rsidRPr="004D336F" w:rsidRDefault="00D753FE" w:rsidP="00D753FE">
      <w:r>
        <w:t>Since</w:t>
      </w:r>
      <w:r w:rsidRPr="004D336F">
        <w:t xml:space="preserve"> MBIE is the </w:t>
      </w:r>
      <w:r w:rsidR="00C75987">
        <w:t xml:space="preserve">principal funder of NZRIS and the </w:t>
      </w:r>
      <w:r w:rsidRPr="004D336F">
        <w:t>sole funder</w:t>
      </w:r>
      <w:r>
        <w:t xml:space="preserve"> of </w:t>
      </w:r>
      <w:r w:rsidR="00764617">
        <w:t xml:space="preserve">the </w:t>
      </w:r>
      <w:r w:rsidR="00CE104D">
        <w:t>NZRIS</w:t>
      </w:r>
      <w:r w:rsidR="00764617">
        <w:t xml:space="preserve"> hub</w:t>
      </w:r>
      <w:r w:rsidRPr="004D336F">
        <w:t xml:space="preserve">, </w:t>
      </w:r>
      <w:r>
        <w:t xml:space="preserve">NSOG </w:t>
      </w:r>
      <w:r w:rsidRPr="004D336F">
        <w:t xml:space="preserve">proposals </w:t>
      </w:r>
      <w:r>
        <w:t xml:space="preserve">and changes </w:t>
      </w:r>
      <w:r w:rsidRPr="004D336F">
        <w:t xml:space="preserve">with financial implications will require approval from MBIE. As MBIE hosts </w:t>
      </w:r>
      <w:r w:rsidR="00CE104D">
        <w:t>NZRIS</w:t>
      </w:r>
      <w:r w:rsidRPr="004D336F">
        <w:t>, proposals will need to comply with MBIE’s own data governance and security protocols</w:t>
      </w:r>
      <w:r>
        <w:t xml:space="preserve">, and the </w:t>
      </w:r>
      <w:r>
        <w:lastRenderedPageBreak/>
        <w:t>relevant “whole of government” protocols</w:t>
      </w:r>
      <w:r>
        <w:rPr>
          <w:rStyle w:val="FootnoteReference"/>
        </w:rPr>
        <w:footnoteReference w:id="6"/>
      </w:r>
      <w:r w:rsidRPr="004D336F">
        <w:t xml:space="preserve">. Proposals will also need to </w:t>
      </w:r>
      <w:r>
        <w:t>comply</w:t>
      </w:r>
      <w:r w:rsidRPr="004D336F">
        <w:t xml:space="preserve"> with relevant overarching legislation such as the Privacy Act</w:t>
      </w:r>
      <w:r>
        <w:t xml:space="preserve"> 1993</w:t>
      </w:r>
      <w:r w:rsidRPr="004D336F">
        <w:t xml:space="preserve">, the Official Information Act </w:t>
      </w:r>
      <w:r>
        <w:t xml:space="preserve">1982 </w:t>
      </w:r>
      <w:r w:rsidRPr="004D336F">
        <w:t>and the Crown Entities Act</w:t>
      </w:r>
      <w:r>
        <w:t xml:space="preserve"> 2004</w:t>
      </w:r>
      <w:r w:rsidRPr="004D336F">
        <w:t>.</w:t>
      </w:r>
    </w:p>
    <w:p w:rsidR="00D753FE" w:rsidRDefault="00D753FE" w:rsidP="00D753FE">
      <w:pPr>
        <w:pStyle w:val="Heading1"/>
      </w:pPr>
      <w:bookmarkStart w:id="23" w:name="_Toc525550519"/>
      <w:bookmarkStart w:id="24" w:name="_Toc523484473"/>
      <w:bookmarkStart w:id="25" w:name="_Toc16602731"/>
      <w:bookmarkStart w:id="26" w:name="_Toc525550518"/>
      <w:r w:rsidRPr="00A425E9">
        <w:t>Principles</w:t>
      </w:r>
      <w:bookmarkEnd w:id="23"/>
      <w:bookmarkEnd w:id="24"/>
      <w:bookmarkEnd w:id="25"/>
    </w:p>
    <w:p w:rsidR="00D753FE" w:rsidRDefault="00D753FE" w:rsidP="00D753FE">
      <w:r w:rsidRPr="00A65372">
        <w:t>The group will apply the following principles in its work</w:t>
      </w:r>
      <w:r>
        <w:t>:</w:t>
      </w:r>
    </w:p>
    <w:p w:rsidR="00E8552C" w:rsidRPr="00F2423A" w:rsidRDefault="000B3351" w:rsidP="003B45B9">
      <w:r w:rsidRPr="00F2423A">
        <w:rPr>
          <w:b/>
          <w:bCs/>
          <w:shd w:val="clear" w:color="auto" w:fill="FFFFFF"/>
        </w:rPr>
        <w:t>Working together and shared value</w:t>
      </w:r>
      <w:r w:rsidR="00D753FE" w:rsidRPr="00A94C4B">
        <w:rPr>
          <w:b/>
          <w:bCs/>
        </w:rPr>
        <w:t>:</w:t>
      </w:r>
      <w:r w:rsidR="00D753FE" w:rsidRPr="00A94C4B">
        <w:t xml:space="preserve"> Members of NSOG will engage with each other and MBIE in a spirit of partnership and co-operation in undertaking the group’s function</w:t>
      </w:r>
      <w:r w:rsidR="0068051E" w:rsidRPr="00A94C4B">
        <w:t xml:space="preserve">, and will </w:t>
      </w:r>
      <w:r w:rsidR="00E8552C" w:rsidRPr="00A94C4B">
        <w:t xml:space="preserve">work together to deliver value to all parties involved with </w:t>
      </w:r>
      <w:r w:rsidR="00CE104D" w:rsidRPr="00A94C4B">
        <w:t>NZRIS</w:t>
      </w:r>
      <w:r w:rsidR="00E8552C" w:rsidRPr="00A94C4B">
        <w:t>.</w:t>
      </w:r>
    </w:p>
    <w:p w:rsidR="00D753FE" w:rsidRPr="00A94C4B" w:rsidRDefault="000B3351" w:rsidP="00D753FE">
      <w:pPr>
        <w:spacing w:before="100" w:beforeAutospacing="1" w:after="100" w:afterAutospacing="1"/>
      </w:pPr>
      <w:r w:rsidRPr="00F2423A">
        <w:rPr>
          <w:b/>
          <w:bCs/>
          <w:shd w:val="clear" w:color="auto" w:fill="FFFFFF"/>
        </w:rPr>
        <w:t>Guardianship</w:t>
      </w:r>
      <w:r w:rsidR="00D753FE" w:rsidRPr="00F2423A">
        <w:rPr>
          <w:b/>
          <w:bCs/>
          <w:shd w:val="clear" w:color="auto" w:fill="FFFFFF"/>
        </w:rPr>
        <w:t>:</w:t>
      </w:r>
      <w:r w:rsidR="00D753FE" w:rsidRPr="00A94C4B">
        <w:t xml:space="preserve"> An ethic of care and stewardship is applied to both data within </w:t>
      </w:r>
      <w:r w:rsidR="00CE104D" w:rsidRPr="00A94C4B">
        <w:t>NZRIS</w:t>
      </w:r>
      <w:r w:rsidR="00D753FE" w:rsidRPr="00A94C4B">
        <w:t xml:space="preserve"> and the creation of a data commons for research information.</w:t>
      </w:r>
    </w:p>
    <w:p w:rsidR="00D753FE" w:rsidRPr="00A94C4B" w:rsidRDefault="00481F5E" w:rsidP="00D753FE">
      <w:pPr>
        <w:spacing w:before="100" w:beforeAutospacing="1" w:after="100" w:afterAutospacing="1"/>
      </w:pPr>
      <w:r w:rsidRPr="00F2423A">
        <w:rPr>
          <w:b/>
          <w:bCs/>
          <w:shd w:val="clear" w:color="auto" w:fill="FFFFFF"/>
        </w:rPr>
        <w:t xml:space="preserve">Transparency </w:t>
      </w:r>
      <w:r w:rsidR="00054871" w:rsidRPr="00F2423A">
        <w:rPr>
          <w:b/>
          <w:bCs/>
          <w:shd w:val="clear" w:color="auto" w:fill="FFFFFF"/>
        </w:rPr>
        <w:t>and openness</w:t>
      </w:r>
      <w:r w:rsidR="00D753FE" w:rsidRPr="00F2423A">
        <w:rPr>
          <w:b/>
          <w:bCs/>
          <w:shd w:val="clear" w:color="auto" w:fill="FFFFFF"/>
        </w:rPr>
        <w:t xml:space="preserve">: </w:t>
      </w:r>
      <w:r w:rsidR="00D753FE" w:rsidRPr="00A94C4B">
        <w:t>NSOG and its members will perform their functions transparently and share information to support collaboration, cooperation and collective decision-making.</w:t>
      </w:r>
    </w:p>
    <w:p w:rsidR="00BD17F5" w:rsidRPr="00A94C4B" w:rsidRDefault="000B3351" w:rsidP="003B45B9">
      <w:r w:rsidRPr="00F2423A">
        <w:rPr>
          <w:b/>
          <w:bCs/>
          <w:shd w:val="clear" w:color="auto" w:fill="FFFFFF"/>
        </w:rPr>
        <w:t>Active Engagement</w:t>
      </w:r>
      <w:r w:rsidR="0024438B" w:rsidRPr="00F2423A">
        <w:rPr>
          <w:b/>
          <w:bCs/>
          <w:shd w:val="clear" w:color="auto" w:fill="FFFFFF"/>
        </w:rPr>
        <w:t>:</w:t>
      </w:r>
      <w:r w:rsidR="0024438B" w:rsidRPr="00A94C4B">
        <w:rPr>
          <w:b/>
          <w:bCs/>
        </w:rPr>
        <w:t xml:space="preserve"> </w:t>
      </w:r>
      <w:r w:rsidR="00BD17F5" w:rsidRPr="00A94C4B">
        <w:t>All members of the group are active members, undertaking tasks and functions as required to</w:t>
      </w:r>
      <w:r w:rsidR="00F46ACB" w:rsidRPr="00A94C4B">
        <w:t xml:space="preserve"> </w:t>
      </w:r>
      <w:r w:rsidR="00BD17F5" w:rsidRPr="00A94C4B">
        <w:t>fulfil the terms of reference and engaging stakeholders through appropriate means with regard to issues of relevance.</w:t>
      </w:r>
    </w:p>
    <w:p w:rsidR="00D753FE" w:rsidRPr="00A65372" w:rsidRDefault="00D753FE" w:rsidP="00B147F9">
      <w:pPr>
        <w:pStyle w:val="Heading1"/>
      </w:pPr>
      <w:bookmarkStart w:id="27" w:name="_Toc525550522"/>
      <w:bookmarkStart w:id="28" w:name="_Toc523484476"/>
      <w:bookmarkStart w:id="29" w:name="_Toc16602732"/>
      <w:r w:rsidRPr="00A65372">
        <w:t>Composition</w:t>
      </w:r>
      <w:bookmarkEnd w:id="27"/>
      <w:bookmarkEnd w:id="28"/>
      <w:bookmarkEnd w:id="29"/>
      <w:r w:rsidRPr="00A65372">
        <w:t xml:space="preserve"> </w:t>
      </w:r>
    </w:p>
    <w:p w:rsidR="00D753FE" w:rsidRDefault="00D753FE" w:rsidP="00D753FE">
      <w:r w:rsidRPr="00A65372">
        <w:t xml:space="preserve">Membership of the group will reflect the </w:t>
      </w:r>
      <w:r w:rsidRPr="00BF52CD">
        <w:t>different roles within</w:t>
      </w:r>
      <w:r w:rsidRPr="00A65372">
        <w:t xml:space="preserve"> the system, and the skills needed for effective</w:t>
      </w:r>
      <w:r>
        <w:t xml:space="preserve"> stewardship and</w:t>
      </w:r>
      <w:r w:rsidRPr="00A65372">
        <w:t xml:space="preserve"> oversight. </w:t>
      </w:r>
    </w:p>
    <w:p w:rsidR="00D753FE" w:rsidRPr="00A65372" w:rsidRDefault="00D753FE" w:rsidP="00D753FE">
      <w:r>
        <w:t>The group will have an Independent Chairperson and comprise</w:t>
      </w:r>
      <w:r w:rsidRPr="00A65372">
        <w:t xml:space="preserve"> 9-11 people </w:t>
      </w:r>
      <w:r>
        <w:t>who can bring the following perspectives to the group functions:</w:t>
      </w:r>
    </w:p>
    <w:p w:rsidR="00D753FE" w:rsidRDefault="00D753FE" w:rsidP="00D753FE">
      <w:pPr>
        <w:pStyle w:val="ListParagraph"/>
        <w:numPr>
          <w:ilvl w:val="0"/>
          <w:numId w:val="1"/>
        </w:numPr>
        <w:spacing w:after="200" w:line="276" w:lineRule="auto"/>
        <w:ind w:left="1080"/>
        <w:rPr>
          <w:rFonts w:ascii="Calibri" w:hAnsi="Calibri"/>
          <w:sz w:val="22"/>
          <w:szCs w:val="22"/>
        </w:rPr>
      </w:pPr>
      <w:r w:rsidRPr="00204F0B">
        <w:rPr>
          <w:rFonts w:ascii="Calibri" w:hAnsi="Calibri"/>
          <w:sz w:val="22"/>
          <w:szCs w:val="22"/>
        </w:rPr>
        <w:t xml:space="preserve">Research organisations </w:t>
      </w:r>
    </w:p>
    <w:p w:rsidR="00D753FE" w:rsidRPr="00A65372" w:rsidRDefault="00D753FE" w:rsidP="00D753FE">
      <w:pPr>
        <w:pStyle w:val="ListParagraph"/>
        <w:numPr>
          <w:ilvl w:val="0"/>
          <w:numId w:val="1"/>
        </w:numPr>
        <w:spacing w:after="200" w:line="276" w:lineRule="auto"/>
        <w:ind w:left="1080"/>
        <w:rPr>
          <w:rFonts w:ascii="Calibri" w:hAnsi="Calibri"/>
          <w:sz w:val="22"/>
          <w:szCs w:val="22"/>
        </w:rPr>
      </w:pPr>
      <w:r w:rsidRPr="00A65372">
        <w:rPr>
          <w:rFonts w:ascii="Calibri" w:hAnsi="Calibri"/>
          <w:sz w:val="22"/>
          <w:szCs w:val="22"/>
        </w:rPr>
        <w:t xml:space="preserve">Research funders </w:t>
      </w:r>
    </w:p>
    <w:p w:rsidR="00D753FE" w:rsidRPr="00A65372" w:rsidRDefault="00CE104D" w:rsidP="00D753FE">
      <w:pPr>
        <w:pStyle w:val="ListParagraph"/>
        <w:numPr>
          <w:ilvl w:val="0"/>
          <w:numId w:val="1"/>
        </w:numPr>
        <w:spacing w:after="200" w:line="276" w:lineRule="auto"/>
        <w:ind w:left="1080"/>
        <w:rPr>
          <w:rFonts w:ascii="Calibri" w:hAnsi="Calibri"/>
          <w:sz w:val="22"/>
          <w:szCs w:val="22"/>
        </w:rPr>
      </w:pPr>
      <w:r>
        <w:rPr>
          <w:rFonts w:ascii="Calibri" w:hAnsi="Calibri"/>
          <w:sz w:val="22"/>
          <w:szCs w:val="22"/>
        </w:rPr>
        <w:t>NZRIS</w:t>
      </w:r>
      <w:r w:rsidR="00D753FE">
        <w:rPr>
          <w:rFonts w:ascii="Calibri" w:hAnsi="Calibri"/>
          <w:sz w:val="22"/>
          <w:szCs w:val="22"/>
        </w:rPr>
        <w:t xml:space="preserve"> users</w:t>
      </w:r>
    </w:p>
    <w:p w:rsidR="00D753FE" w:rsidRDefault="00D753FE" w:rsidP="00D753FE">
      <w:pPr>
        <w:pStyle w:val="ListParagraph"/>
        <w:numPr>
          <w:ilvl w:val="0"/>
          <w:numId w:val="1"/>
        </w:numPr>
        <w:spacing w:after="200" w:line="276" w:lineRule="auto"/>
        <w:ind w:left="1080"/>
        <w:rPr>
          <w:rFonts w:ascii="Calibri" w:hAnsi="Calibri"/>
          <w:sz w:val="22"/>
          <w:szCs w:val="22"/>
        </w:rPr>
      </w:pPr>
      <w:r>
        <w:rPr>
          <w:rFonts w:ascii="Calibri" w:hAnsi="Calibri"/>
          <w:sz w:val="22"/>
          <w:szCs w:val="22"/>
        </w:rPr>
        <w:t>Researchers, including M</w:t>
      </w:r>
      <w:r w:rsidR="00383686">
        <w:rPr>
          <w:rFonts w:ascii="Calibri" w:hAnsi="Calibri"/>
          <w:sz w:val="22"/>
          <w:szCs w:val="22"/>
        </w:rPr>
        <w:t>ā</w:t>
      </w:r>
      <w:r>
        <w:rPr>
          <w:rFonts w:ascii="Calibri" w:hAnsi="Calibri"/>
          <w:sz w:val="22"/>
          <w:szCs w:val="22"/>
        </w:rPr>
        <w:t>ori</w:t>
      </w:r>
    </w:p>
    <w:p w:rsidR="00D753FE" w:rsidRPr="00A65372" w:rsidRDefault="00D753FE" w:rsidP="00D753FE">
      <w:pPr>
        <w:pStyle w:val="ListParagraph"/>
        <w:numPr>
          <w:ilvl w:val="0"/>
          <w:numId w:val="1"/>
        </w:numPr>
        <w:spacing w:after="200" w:line="276" w:lineRule="auto"/>
        <w:ind w:left="1080"/>
        <w:rPr>
          <w:rFonts w:ascii="Calibri" w:hAnsi="Calibri"/>
          <w:sz w:val="22"/>
          <w:szCs w:val="22"/>
        </w:rPr>
      </w:pPr>
      <w:r>
        <w:rPr>
          <w:rFonts w:ascii="Calibri" w:hAnsi="Calibri"/>
          <w:sz w:val="22"/>
          <w:szCs w:val="22"/>
        </w:rPr>
        <w:t>D</w:t>
      </w:r>
      <w:r w:rsidRPr="00A65372">
        <w:rPr>
          <w:rFonts w:ascii="Calibri" w:hAnsi="Calibri"/>
          <w:sz w:val="22"/>
          <w:szCs w:val="22"/>
        </w:rPr>
        <w:t xml:space="preserve">ata </w:t>
      </w:r>
      <w:r>
        <w:rPr>
          <w:rFonts w:ascii="Calibri" w:hAnsi="Calibri"/>
          <w:sz w:val="22"/>
          <w:szCs w:val="22"/>
        </w:rPr>
        <w:t xml:space="preserve">and information management </w:t>
      </w:r>
    </w:p>
    <w:p w:rsidR="00D753FE" w:rsidRDefault="00D753FE" w:rsidP="00D753FE">
      <w:pPr>
        <w:pStyle w:val="ListParagraph"/>
        <w:numPr>
          <w:ilvl w:val="0"/>
          <w:numId w:val="1"/>
        </w:numPr>
        <w:spacing w:after="200" w:line="276" w:lineRule="auto"/>
        <w:ind w:left="1080"/>
        <w:rPr>
          <w:rFonts w:ascii="Calibri" w:hAnsi="Calibri"/>
          <w:sz w:val="22"/>
          <w:szCs w:val="22"/>
        </w:rPr>
      </w:pPr>
      <w:r w:rsidRPr="00A65372">
        <w:rPr>
          <w:rFonts w:ascii="Calibri" w:hAnsi="Calibri"/>
          <w:sz w:val="22"/>
          <w:szCs w:val="22"/>
        </w:rPr>
        <w:t>IT</w:t>
      </w:r>
      <w:r>
        <w:rPr>
          <w:rFonts w:ascii="Calibri" w:hAnsi="Calibri"/>
          <w:sz w:val="22"/>
          <w:szCs w:val="22"/>
        </w:rPr>
        <w:t xml:space="preserve"> system management</w:t>
      </w:r>
      <w:r w:rsidRPr="00A65372">
        <w:rPr>
          <w:rFonts w:ascii="Calibri" w:hAnsi="Calibri"/>
          <w:sz w:val="22"/>
          <w:szCs w:val="22"/>
        </w:rPr>
        <w:t xml:space="preserve"> </w:t>
      </w:r>
    </w:p>
    <w:p w:rsidR="002C390B" w:rsidRPr="00A65372" w:rsidRDefault="002C390B" w:rsidP="00D753FE">
      <w:pPr>
        <w:pStyle w:val="ListParagraph"/>
        <w:numPr>
          <w:ilvl w:val="0"/>
          <w:numId w:val="1"/>
        </w:numPr>
        <w:spacing w:after="200" w:line="276" w:lineRule="auto"/>
        <w:ind w:left="1080"/>
        <w:rPr>
          <w:rFonts w:ascii="Calibri" w:hAnsi="Calibri"/>
          <w:sz w:val="22"/>
          <w:szCs w:val="22"/>
        </w:rPr>
      </w:pPr>
      <w:proofErr w:type="spellStart"/>
      <w:r>
        <w:rPr>
          <w:rFonts w:ascii="Calibri" w:hAnsi="Calibri"/>
          <w:sz w:val="22"/>
          <w:szCs w:val="22"/>
        </w:rPr>
        <w:t>Tikanga</w:t>
      </w:r>
      <w:proofErr w:type="spellEnd"/>
      <w:r>
        <w:rPr>
          <w:rFonts w:ascii="Calibri" w:hAnsi="Calibri"/>
          <w:sz w:val="22"/>
          <w:szCs w:val="22"/>
        </w:rPr>
        <w:t xml:space="preserve"> </w:t>
      </w:r>
      <w:r w:rsidR="00B96025" w:rsidRPr="00B96025">
        <w:rPr>
          <w:rFonts w:ascii="Calibri" w:hAnsi="Calibri"/>
          <w:sz w:val="22"/>
          <w:szCs w:val="22"/>
        </w:rPr>
        <w:t>Māori</w:t>
      </w:r>
      <w:r>
        <w:rPr>
          <w:rFonts w:ascii="Calibri" w:hAnsi="Calibri"/>
          <w:sz w:val="22"/>
          <w:szCs w:val="22"/>
        </w:rPr>
        <w:t xml:space="preserve"> perspectives on data and information</w:t>
      </w:r>
    </w:p>
    <w:p w:rsidR="00CE2DC8" w:rsidRPr="004F65D9" w:rsidRDefault="004F65D9" w:rsidP="00D64661">
      <w:r w:rsidRPr="004F65D9">
        <w:t xml:space="preserve">The group as a whole will need to achieve a representative balance between these perspectives.  The aim is for the group to enjoy the trust and confidence of the sector rather than be a directly representative group.  </w:t>
      </w:r>
    </w:p>
    <w:p w:rsidR="00D753FE" w:rsidRPr="00A65372" w:rsidRDefault="00D753FE" w:rsidP="00D753FE">
      <w:r w:rsidRPr="00A65372">
        <w:t>The group as a whole will need expertise in a range of areas including:</w:t>
      </w:r>
    </w:p>
    <w:p w:rsidR="00D753FE" w:rsidRDefault="00D753FE" w:rsidP="00D753FE">
      <w:pPr>
        <w:pStyle w:val="ListParagraph"/>
        <w:numPr>
          <w:ilvl w:val="0"/>
          <w:numId w:val="1"/>
        </w:numPr>
        <w:spacing w:after="200" w:line="276" w:lineRule="auto"/>
        <w:ind w:left="1080"/>
        <w:rPr>
          <w:rFonts w:ascii="Calibri" w:hAnsi="Calibri"/>
          <w:sz w:val="22"/>
          <w:szCs w:val="22"/>
        </w:rPr>
      </w:pPr>
      <w:r>
        <w:rPr>
          <w:rFonts w:ascii="Calibri" w:hAnsi="Calibri"/>
          <w:sz w:val="22"/>
          <w:szCs w:val="22"/>
        </w:rPr>
        <w:t>Research and New Zealand research sector</w:t>
      </w:r>
    </w:p>
    <w:p w:rsidR="00D753FE" w:rsidRPr="00A65372" w:rsidRDefault="00D753FE" w:rsidP="00D64661">
      <w:pPr>
        <w:pStyle w:val="ListParagraph"/>
        <w:numPr>
          <w:ilvl w:val="0"/>
          <w:numId w:val="1"/>
        </w:numPr>
        <w:spacing w:after="200" w:line="276" w:lineRule="auto"/>
        <w:ind w:left="1080"/>
        <w:rPr>
          <w:rFonts w:ascii="Calibri" w:hAnsi="Calibri"/>
          <w:sz w:val="22"/>
          <w:szCs w:val="22"/>
        </w:rPr>
      </w:pPr>
      <w:r w:rsidRPr="00A65372">
        <w:rPr>
          <w:rFonts w:ascii="Calibri" w:hAnsi="Calibri"/>
          <w:sz w:val="22"/>
          <w:szCs w:val="22"/>
        </w:rPr>
        <w:t>Data governance in an open data environment</w:t>
      </w:r>
    </w:p>
    <w:p w:rsidR="00D753FE" w:rsidRPr="00A65372" w:rsidRDefault="00D753FE" w:rsidP="00D64661">
      <w:pPr>
        <w:pStyle w:val="ListParagraph"/>
        <w:numPr>
          <w:ilvl w:val="0"/>
          <w:numId w:val="1"/>
        </w:numPr>
        <w:spacing w:after="200" w:line="276" w:lineRule="auto"/>
        <w:ind w:left="1080"/>
        <w:rPr>
          <w:rFonts w:ascii="Calibri" w:hAnsi="Calibri"/>
          <w:sz w:val="22"/>
          <w:szCs w:val="22"/>
        </w:rPr>
      </w:pPr>
      <w:r w:rsidRPr="00A65372">
        <w:rPr>
          <w:rFonts w:ascii="Calibri" w:hAnsi="Calibri"/>
          <w:sz w:val="22"/>
          <w:szCs w:val="22"/>
        </w:rPr>
        <w:lastRenderedPageBreak/>
        <w:t xml:space="preserve">Sharing data </w:t>
      </w:r>
      <w:r>
        <w:rPr>
          <w:rFonts w:ascii="Calibri" w:hAnsi="Calibri"/>
          <w:sz w:val="22"/>
          <w:szCs w:val="22"/>
        </w:rPr>
        <w:t xml:space="preserve">and information </w:t>
      </w:r>
      <w:r w:rsidR="00764617">
        <w:rPr>
          <w:rFonts w:ascii="Calibri" w:hAnsi="Calibri"/>
          <w:sz w:val="22"/>
          <w:szCs w:val="22"/>
        </w:rPr>
        <w:t xml:space="preserve">efficiently and cost-effectively </w:t>
      </w:r>
      <w:r w:rsidRPr="00A65372">
        <w:rPr>
          <w:rFonts w:ascii="Calibri" w:hAnsi="Calibri"/>
          <w:sz w:val="22"/>
          <w:szCs w:val="22"/>
        </w:rPr>
        <w:t>between organisations with disparate systems</w:t>
      </w:r>
    </w:p>
    <w:p w:rsidR="00D753FE" w:rsidRPr="00A65372" w:rsidRDefault="00D753FE" w:rsidP="00D64661">
      <w:pPr>
        <w:pStyle w:val="ListParagraph"/>
        <w:numPr>
          <w:ilvl w:val="0"/>
          <w:numId w:val="1"/>
        </w:numPr>
        <w:spacing w:after="200" w:line="276" w:lineRule="auto"/>
        <w:ind w:left="1080"/>
        <w:rPr>
          <w:rFonts w:ascii="Calibri" w:hAnsi="Calibri"/>
          <w:sz w:val="22"/>
          <w:szCs w:val="22"/>
        </w:rPr>
      </w:pPr>
      <w:r w:rsidRPr="00A65372">
        <w:rPr>
          <w:rFonts w:ascii="Calibri" w:hAnsi="Calibri"/>
          <w:sz w:val="22"/>
          <w:szCs w:val="22"/>
        </w:rPr>
        <w:t>Management of security and access in an open data environment</w:t>
      </w:r>
    </w:p>
    <w:p w:rsidR="00D753FE" w:rsidRPr="00A65372" w:rsidRDefault="00D753FE" w:rsidP="00D64661">
      <w:pPr>
        <w:pStyle w:val="ListParagraph"/>
        <w:numPr>
          <w:ilvl w:val="0"/>
          <w:numId w:val="1"/>
        </w:numPr>
        <w:spacing w:after="200" w:line="276" w:lineRule="auto"/>
        <w:ind w:left="1080"/>
        <w:rPr>
          <w:rFonts w:ascii="Calibri" w:hAnsi="Calibri"/>
          <w:sz w:val="22"/>
          <w:szCs w:val="22"/>
        </w:rPr>
      </w:pPr>
      <w:r w:rsidRPr="00A65372">
        <w:rPr>
          <w:rFonts w:ascii="Calibri" w:hAnsi="Calibri"/>
          <w:sz w:val="22"/>
          <w:szCs w:val="22"/>
        </w:rPr>
        <w:t xml:space="preserve">Data </w:t>
      </w:r>
      <w:r>
        <w:rPr>
          <w:rFonts w:ascii="Calibri" w:hAnsi="Calibri"/>
          <w:sz w:val="22"/>
          <w:szCs w:val="22"/>
        </w:rPr>
        <w:t xml:space="preserve">and information </w:t>
      </w:r>
      <w:r w:rsidRPr="00A65372">
        <w:rPr>
          <w:rFonts w:ascii="Calibri" w:hAnsi="Calibri"/>
          <w:sz w:val="22"/>
          <w:szCs w:val="22"/>
        </w:rPr>
        <w:t xml:space="preserve">management implications of legislation </w:t>
      </w:r>
    </w:p>
    <w:p w:rsidR="00D753FE" w:rsidRDefault="00D753FE" w:rsidP="00D753FE">
      <w:pPr>
        <w:pStyle w:val="ListParagraph"/>
        <w:numPr>
          <w:ilvl w:val="0"/>
          <w:numId w:val="1"/>
        </w:numPr>
        <w:spacing w:after="200" w:line="276" w:lineRule="auto"/>
        <w:ind w:left="1080"/>
        <w:rPr>
          <w:rFonts w:ascii="Calibri" w:hAnsi="Calibri"/>
          <w:sz w:val="22"/>
          <w:szCs w:val="22"/>
        </w:rPr>
      </w:pPr>
      <w:proofErr w:type="spellStart"/>
      <w:r w:rsidRPr="00A65372">
        <w:rPr>
          <w:rFonts w:ascii="Calibri" w:hAnsi="Calibri"/>
          <w:sz w:val="22"/>
          <w:szCs w:val="22"/>
        </w:rPr>
        <w:t>Kaupapa</w:t>
      </w:r>
      <w:proofErr w:type="spellEnd"/>
      <w:r w:rsidRPr="00A65372">
        <w:rPr>
          <w:rFonts w:ascii="Calibri" w:hAnsi="Calibri"/>
          <w:sz w:val="22"/>
          <w:szCs w:val="22"/>
        </w:rPr>
        <w:t xml:space="preserve"> Māori research and data </w:t>
      </w:r>
      <w:r w:rsidR="00052BE3">
        <w:rPr>
          <w:rFonts w:ascii="Calibri" w:hAnsi="Calibri"/>
          <w:sz w:val="22"/>
          <w:szCs w:val="22"/>
        </w:rPr>
        <w:t>governance</w:t>
      </w:r>
    </w:p>
    <w:p w:rsidR="00D753FE" w:rsidRPr="00A65372" w:rsidRDefault="00D753FE" w:rsidP="00D753FE">
      <w:pPr>
        <w:pStyle w:val="ListParagraph"/>
        <w:numPr>
          <w:ilvl w:val="0"/>
          <w:numId w:val="1"/>
        </w:numPr>
        <w:spacing w:after="200" w:line="276" w:lineRule="auto"/>
        <w:ind w:left="1080"/>
        <w:rPr>
          <w:rFonts w:ascii="Calibri" w:hAnsi="Calibri"/>
          <w:sz w:val="22"/>
          <w:szCs w:val="22"/>
        </w:rPr>
      </w:pPr>
      <w:r>
        <w:rPr>
          <w:rFonts w:ascii="Calibri" w:hAnsi="Calibri"/>
          <w:sz w:val="22"/>
          <w:szCs w:val="22"/>
        </w:rPr>
        <w:t>Research metadata and analysis</w:t>
      </w:r>
    </w:p>
    <w:p w:rsidR="00D753FE" w:rsidRDefault="00D753FE" w:rsidP="00D753FE">
      <w:pPr>
        <w:pStyle w:val="ListParagraph"/>
        <w:spacing w:after="200" w:line="276" w:lineRule="auto"/>
        <w:ind w:left="0"/>
        <w:rPr>
          <w:rFonts w:ascii="Calibri" w:hAnsi="Calibri"/>
          <w:sz w:val="22"/>
          <w:szCs w:val="22"/>
        </w:rPr>
      </w:pPr>
    </w:p>
    <w:p w:rsidR="00D753FE" w:rsidRDefault="00D753FE" w:rsidP="00D753FE">
      <w:pPr>
        <w:pStyle w:val="ListParagraph"/>
        <w:spacing w:after="200" w:line="276" w:lineRule="auto"/>
        <w:ind w:left="0"/>
        <w:rPr>
          <w:rFonts w:ascii="Calibri" w:hAnsi="Calibri"/>
          <w:sz w:val="22"/>
          <w:szCs w:val="22"/>
        </w:rPr>
      </w:pPr>
      <w:r w:rsidRPr="00A65372">
        <w:rPr>
          <w:rFonts w:ascii="Calibri" w:hAnsi="Calibri"/>
          <w:sz w:val="22"/>
          <w:szCs w:val="22"/>
        </w:rPr>
        <w:t>Members can</w:t>
      </w:r>
      <w:r>
        <w:rPr>
          <w:rFonts w:ascii="Calibri" w:hAnsi="Calibri"/>
          <w:sz w:val="22"/>
          <w:szCs w:val="22"/>
        </w:rPr>
        <w:t>,</w:t>
      </w:r>
      <w:r w:rsidRPr="00A65372">
        <w:rPr>
          <w:rFonts w:ascii="Calibri" w:hAnsi="Calibri"/>
          <w:sz w:val="22"/>
          <w:szCs w:val="22"/>
        </w:rPr>
        <w:t xml:space="preserve"> and most likely will</w:t>
      </w:r>
      <w:r>
        <w:rPr>
          <w:rFonts w:ascii="Calibri" w:hAnsi="Calibri"/>
          <w:sz w:val="22"/>
          <w:szCs w:val="22"/>
        </w:rPr>
        <w:t>,</w:t>
      </w:r>
      <w:r w:rsidRPr="00A65372">
        <w:rPr>
          <w:rFonts w:ascii="Calibri" w:hAnsi="Calibri"/>
          <w:sz w:val="22"/>
          <w:szCs w:val="22"/>
        </w:rPr>
        <w:t xml:space="preserve"> represent more than one area </w:t>
      </w:r>
      <w:r>
        <w:rPr>
          <w:rFonts w:ascii="Calibri" w:hAnsi="Calibri"/>
          <w:sz w:val="22"/>
          <w:szCs w:val="22"/>
        </w:rPr>
        <w:t xml:space="preserve">of expertise </w:t>
      </w:r>
      <w:r w:rsidRPr="00A65372">
        <w:rPr>
          <w:rFonts w:ascii="Calibri" w:hAnsi="Calibri"/>
          <w:sz w:val="22"/>
          <w:szCs w:val="22"/>
        </w:rPr>
        <w:t>from this list.  Members will participate in their own right rather than as delegates of particular organisations.</w:t>
      </w:r>
    </w:p>
    <w:p w:rsidR="00D753FE" w:rsidRDefault="00D753FE" w:rsidP="00D753FE">
      <w:pPr>
        <w:pStyle w:val="ListParagraph"/>
        <w:spacing w:after="200" w:line="276" w:lineRule="auto"/>
        <w:ind w:left="0"/>
        <w:rPr>
          <w:rFonts w:ascii="Calibri" w:hAnsi="Calibri"/>
          <w:sz w:val="22"/>
          <w:szCs w:val="22"/>
        </w:rPr>
      </w:pPr>
    </w:p>
    <w:p w:rsidR="00D753FE" w:rsidRPr="00A65372" w:rsidRDefault="00D753FE" w:rsidP="00D753FE">
      <w:pPr>
        <w:pStyle w:val="ListParagraph"/>
        <w:spacing w:after="200" w:line="276" w:lineRule="auto"/>
        <w:ind w:left="0"/>
        <w:rPr>
          <w:rFonts w:ascii="Calibri" w:hAnsi="Calibri"/>
          <w:sz w:val="22"/>
          <w:szCs w:val="22"/>
        </w:rPr>
      </w:pPr>
      <w:r>
        <w:rPr>
          <w:rFonts w:ascii="Calibri" w:hAnsi="Calibri"/>
          <w:sz w:val="22"/>
          <w:szCs w:val="22"/>
        </w:rPr>
        <w:t>The group may from time to time co-opt members to assist the group in an advisory capacity. These members will not contribute to a quorum at meetings and will not have decision-making rights within the group.</w:t>
      </w:r>
    </w:p>
    <w:p w:rsidR="00D753FE" w:rsidRDefault="00D753FE" w:rsidP="00D753FE">
      <w:pPr>
        <w:pStyle w:val="Heading2"/>
      </w:pPr>
      <w:bookmarkStart w:id="30" w:name="_Toc525550523"/>
      <w:bookmarkStart w:id="31" w:name="_Toc523484477"/>
      <w:bookmarkStart w:id="32" w:name="_Toc16602733"/>
      <w:r>
        <w:t>Appointment</w:t>
      </w:r>
      <w:bookmarkEnd w:id="30"/>
      <w:bookmarkEnd w:id="31"/>
      <w:bookmarkEnd w:id="32"/>
    </w:p>
    <w:p w:rsidR="0090409E" w:rsidRDefault="0090409E" w:rsidP="0090409E">
      <w:r>
        <w:t>In the instance of a vacancy, the following process will be observed:</w:t>
      </w:r>
    </w:p>
    <w:p w:rsidR="0090409E" w:rsidRDefault="0090409E" w:rsidP="0090409E">
      <w:pPr>
        <w:numPr>
          <w:ilvl w:val="0"/>
          <w:numId w:val="10"/>
        </w:numPr>
      </w:pPr>
      <w:r>
        <w:t>As Secretariat of NSOG, MBIE will release a call for nominations. As in case for initial appointment, nominations can be made by any individual with authority to endorse the skills and experience of the nominee.</w:t>
      </w:r>
    </w:p>
    <w:p w:rsidR="0090409E" w:rsidRPr="001E7447" w:rsidRDefault="0090409E" w:rsidP="0090409E">
      <w:pPr>
        <w:numPr>
          <w:ilvl w:val="0"/>
          <w:numId w:val="10"/>
        </w:numPr>
      </w:pPr>
      <w:r>
        <w:t>MBIE</w:t>
      </w:r>
      <w:r w:rsidR="00764617">
        <w:t xml:space="preserve">, with input from </w:t>
      </w:r>
      <w:r>
        <w:t>the current NSOG members</w:t>
      </w:r>
      <w:r w:rsidR="00764617">
        <w:t>,</w:t>
      </w:r>
      <w:r>
        <w:t xml:space="preserve"> will seek feedback</w:t>
      </w:r>
      <w:r w:rsidR="00764617">
        <w:t xml:space="preserve"> on nominees, including</w:t>
      </w:r>
      <w:r>
        <w:t xml:space="preserve"> from organisations sharing data to NZRIS. MBIE and the </w:t>
      </w:r>
      <w:r w:rsidR="00764617">
        <w:t xml:space="preserve">NSOG </w:t>
      </w:r>
      <w:r w:rsidR="00AE19F8">
        <w:t>Chairperson</w:t>
      </w:r>
      <w:r>
        <w:t xml:space="preserve"> will consider that feedback and make a final decision in filling the NSOG vacancy.</w:t>
      </w:r>
    </w:p>
    <w:p w:rsidR="00A11EED" w:rsidRDefault="0090409E" w:rsidP="00A11EED">
      <w:r>
        <w:t>These processes will apply, with appropriate modifications, to appointments made once NSOG is established.</w:t>
      </w:r>
      <w:r w:rsidR="00A11EED" w:rsidRPr="00A11EED">
        <w:t xml:space="preserve"> </w:t>
      </w:r>
    </w:p>
    <w:p w:rsidR="00A11EED" w:rsidRDefault="00A11EED" w:rsidP="00A11EED">
      <w:r>
        <w:t xml:space="preserve">The initial appointment process and the details of NSOG membership can be found in Appendix 1. </w:t>
      </w:r>
    </w:p>
    <w:p w:rsidR="00540D7D" w:rsidRDefault="00540D7D" w:rsidP="00540D7D">
      <w:pPr>
        <w:pStyle w:val="Heading3"/>
      </w:pPr>
      <w:bookmarkStart w:id="33" w:name="_Toc16602735"/>
      <w:r>
        <w:t>Remuneration for members</w:t>
      </w:r>
      <w:bookmarkEnd w:id="33"/>
    </w:p>
    <w:p w:rsidR="00485A70" w:rsidRDefault="00540D7D" w:rsidP="00D753FE">
      <w:r>
        <w:t xml:space="preserve">NSOG members who are </w:t>
      </w:r>
      <w:r w:rsidR="00980331">
        <w:t>neither</w:t>
      </w:r>
      <w:r>
        <w:t xml:space="preserve"> public </w:t>
      </w:r>
      <w:r w:rsidR="00980331">
        <w:t>employees</w:t>
      </w:r>
      <w:r>
        <w:t xml:space="preserve"> </w:t>
      </w:r>
      <w:r w:rsidR="00980331">
        <w:t>nor</w:t>
      </w:r>
      <w:r>
        <w:t xml:space="preserve"> employed elsewhere will be remunerated for their services rendered. Remuneration will be based on the </w:t>
      </w:r>
      <w:r w:rsidR="00D33E5E">
        <w:t xml:space="preserve">Cabinet </w:t>
      </w:r>
      <w:r w:rsidR="005E0D1A">
        <w:t>F</w:t>
      </w:r>
      <w:r w:rsidR="00D33E5E">
        <w:t xml:space="preserve">ees </w:t>
      </w:r>
      <w:r w:rsidR="005E0D1A">
        <w:t>F</w:t>
      </w:r>
      <w:r w:rsidR="00D33E5E">
        <w:t>ramework</w:t>
      </w:r>
      <w:r w:rsidR="005E0D1A">
        <w:t xml:space="preserve"> CO (12) 6</w:t>
      </w:r>
      <w:r w:rsidR="004F0A3F">
        <w:t>, dated 19 December 2012.</w:t>
      </w:r>
    </w:p>
    <w:p w:rsidR="00D753FE" w:rsidRDefault="00D753FE" w:rsidP="00582BB8">
      <w:pPr>
        <w:pStyle w:val="Heading3"/>
      </w:pPr>
      <w:bookmarkStart w:id="34" w:name="_Toc16602736"/>
      <w:r>
        <w:t>Term of office</w:t>
      </w:r>
      <w:bookmarkEnd w:id="34"/>
    </w:p>
    <w:p w:rsidR="00D753FE" w:rsidRPr="0092136F" w:rsidRDefault="00D753FE" w:rsidP="00D753FE">
      <w:r>
        <w:t>Members will initially be appointed for terms of between one (1) and three (3) years to enable a staggered turnover of membership</w:t>
      </w:r>
      <w:r w:rsidRPr="0092136F">
        <w:t>.  The Chair will be appointed for an initial period of three (3) years.</w:t>
      </w:r>
    </w:p>
    <w:p w:rsidR="00D753FE" w:rsidRDefault="00D753FE" w:rsidP="00D753FE">
      <w:pPr>
        <w:rPr>
          <w:highlight w:val="yellow"/>
        </w:rPr>
      </w:pPr>
      <w:r w:rsidRPr="0092136F">
        <w:t>Once established, members of the NSOG will be appointed for a period of three (3) years, with the possibility of a reappointment for a further three-year term. Once a member has served two</w:t>
      </w:r>
      <w:r>
        <w:t xml:space="preserve"> (2)</w:t>
      </w:r>
      <w:r w:rsidRPr="0092136F">
        <w:t xml:space="preserve"> consecutive terms, </w:t>
      </w:r>
      <w:r>
        <w:t>they</w:t>
      </w:r>
      <w:r w:rsidRPr="0092136F">
        <w:t xml:space="preserve"> will not be eligible for re-appointment within the following three</w:t>
      </w:r>
      <w:r>
        <w:t xml:space="preserve"> (3) </w:t>
      </w:r>
      <w:r w:rsidRPr="0092136F">
        <w:t>years.</w:t>
      </w:r>
    </w:p>
    <w:p w:rsidR="00D753FE" w:rsidRPr="00B605DF" w:rsidRDefault="00D753FE" w:rsidP="00D753FE">
      <w:pPr>
        <w:pStyle w:val="Heading1"/>
      </w:pPr>
      <w:bookmarkStart w:id="35" w:name="_Toc16602737"/>
      <w:r w:rsidRPr="00B605DF">
        <w:lastRenderedPageBreak/>
        <w:t>Operations</w:t>
      </w:r>
      <w:bookmarkEnd w:id="26"/>
      <w:bookmarkEnd w:id="35"/>
    </w:p>
    <w:p w:rsidR="00D753FE" w:rsidRPr="00B605DF" w:rsidRDefault="00D753FE" w:rsidP="00D753FE">
      <w:pPr>
        <w:pStyle w:val="Heading2"/>
      </w:pPr>
      <w:bookmarkStart w:id="36" w:name="_Toc16602738"/>
      <w:r>
        <w:t>Meetings</w:t>
      </w:r>
      <w:bookmarkEnd w:id="36"/>
    </w:p>
    <w:p w:rsidR="00D753FE" w:rsidRDefault="00D753FE" w:rsidP="00D753FE">
      <w:r>
        <w:t xml:space="preserve">NSOG will meet at least once every quarter. These meetings can be face to face or via video conferencing.  </w:t>
      </w:r>
    </w:p>
    <w:p w:rsidR="00D753FE" w:rsidRDefault="00D753FE" w:rsidP="00D753FE">
      <w:r>
        <w:t>The business of NSOG meetings will be public unless grounds exist to deal with a particular agenda item as “in-confidence”.</w:t>
      </w:r>
    </w:p>
    <w:p w:rsidR="00D753FE" w:rsidRPr="00703D7B" w:rsidRDefault="00D753FE" w:rsidP="00D753FE">
      <w:pPr>
        <w:pStyle w:val="Heading3"/>
      </w:pPr>
      <w:bookmarkStart w:id="37" w:name="_Toc16602739"/>
      <w:r w:rsidRPr="00703D7B">
        <w:t>Quorum</w:t>
      </w:r>
      <w:bookmarkEnd w:id="37"/>
    </w:p>
    <w:p w:rsidR="00D753FE" w:rsidRDefault="00D753FE" w:rsidP="00D753FE">
      <w:r>
        <w:t>A quorum for meetings will be half plus one of appointed members.</w:t>
      </w:r>
    </w:p>
    <w:p w:rsidR="00D753FE" w:rsidRDefault="00D753FE" w:rsidP="00D753FE">
      <w:pPr>
        <w:pStyle w:val="Heading3"/>
      </w:pPr>
      <w:bookmarkStart w:id="38" w:name="_Toc16602740"/>
      <w:r>
        <w:t>Presiding officer</w:t>
      </w:r>
      <w:bookmarkEnd w:id="38"/>
    </w:p>
    <w:p w:rsidR="00D753FE" w:rsidRDefault="00D753FE" w:rsidP="00D753FE">
      <w:r>
        <w:t>The Chairperson of the group will preside over the meetings. In the event the Chairperson cannot attend a meeting, the Chairperson will nominate another member to act as presiding officer of the meeting. If the Chairperson was unable to nominate a member to act as the presiding for the meeting, the meeting may appoint a presiding officer from amongst those attending appointed members.</w:t>
      </w:r>
    </w:p>
    <w:p w:rsidR="005A60AC" w:rsidRPr="003542CB" w:rsidRDefault="005A60AC" w:rsidP="00582BB8">
      <w:pPr>
        <w:pStyle w:val="Heading3"/>
      </w:pPr>
      <w:bookmarkStart w:id="39" w:name="_Toc16602741"/>
      <w:r>
        <w:t>Secretariat</w:t>
      </w:r>
      <w:bookmarkEnd w:id="39"/>
    </w:p>
    <w:p w:rsidR="005A60AC" w:rsidRDefault="005A60AC" w:rsidP="005A60AC">
      <w:r>
        <w:t>MBIE will provide secretariat support for NSOG. Secretariat tasks include coordinating the conduct of NSOG meetings, managing and maintaining NSOG records (such as reports and minutes of meeting) and performing other relevant tasks assigned by NSOG.</w:t>
      </w:r>
    </w:p>
    <w:p w:rsidR="005A60AC" w:rsidRDefault="005A60AC" w:rsidP="005A60AC">
      <w:r>
        <w:t>NSOG will work with MBIE to coordinate engagement around NSOG’s functions and other NZRIS engagement activities.</w:t>
      </w:r>
    </w:p>
    <w:p w:rsidR="00D753FE" w:rsidRPr="003542CB" w:rsidRDefault="00D753FE" w:rsidP="00D753FE">
      <w:pPr>
        <w:pStyle w:val="Heading3"/>
      </w:pPr>
      <w:bookmarkStart w:id="40" w:name="_Toc16602742"/>
      <w:r>
        <w:t>Decisions</w:t>
      </w:r>
      <w:bookmarkEnd w:id="40"/>
    </w:p>
    <w:p w:rsidR="00D753FE" w:rsidRDefault="00D753FE" w:rsidP="00D753FE">
      <w:r>
        <w:t xml:space="preserve">NSOG will use its best endeavours to make decisions by consensus of those attending a meeting. In the event consensus cannot be reached a decision may be made by a 75% majority of those attending the </w:t>
      </w:r>
      <w:r w:rsidRPr="00F15417">
        <w:t>meeting and participating in the decision.</w:t>
      </w:r>
      <w:r>
        <w:t xml:space="preserve"> </w:t>
      </w:r>
    </w:p>
    <w:p w:rsidR="00D753FE" w:rsidRDefault="00D753FE" w:rsidP="00D753FE">
      <w:pPr>
        <w:pStyle w:val="Heading3"/>
      </w:pPr>
      <w:bookmarkStart w:id="41" w:name="_Toc16602743"/>
      <w:r>
        <w:t>Minutes</w:t>
      </w:r>
      <w:bookmarkEnd w:id="41"/>
    </w:p>
    <w:p w:rsidR="00D753FE" w:rsidRDefault="00D753FE" w:rsidP="00D753FE">
      <w:r>
        <w:t>The Secretariat will prepare the minutes of meeting. NSOG will circulate and publish its minutes once they are confirmed by the participating members.</w:t>
      </w:r>
    </w:p>
    <w:p w:rsidR="00CA7828" w:rsidRDefault="00CA7828" w:rsidP="00582BB8">
      <w:pPr>
        <w:pStyle w:val="Heading3"/>
      </w:pPr>
      <w:bookmarkStart w:id="42" w:name="_Toc16602744"/>
      <w:r>
        <w:t>Interests register</w:t>
      </w:r>
      <w:bookmarkEnd w:id="42"/>
    </w:p>
    <w:p w:rsidR="00CA7828" w:rsidRPr="00E21D8D" w:rsidRDefault="00CA7828" w:rsidP="00D753FE">
      <w:r>
        <w:t xml:space="preserve">NSOG members will identify and record any interests which could be perceived as affecting the functioning of the group. </w:t>
      </w:r>
    </w:p>
    <w:p w:rsidR="00D753FE" w:rsidRPr="003542CB" w:rsidRDefault="00D753FE" w:rsidP="00D753FE">
      <w:pPr>
        <w:pStyle w:val="Heading2"/>
      </w:pPr>
      <w:bookmarkStart w:id="43" w:name="_Toc16602745"/>
      <w:r>
        <w:t>Reporting</w:t>
      </w:r>
      <w:bookmarkEnd w:id="43"/>
    </w:p>
    <w:p w:rsidR="00D753FE" w:rsidRDefault="00D753FE" w:rsidP="00D753FE">
      <w:r>
        <w:t>NSOG will report on its activities to data providers</w:t>
      </w:r>
      <w:r w:rsidR="00CA7828">
        <w:t xml:space="preserve"> and other stakeholders</w:t>
      </w:r>
      <w:r w:rsidR="005A149F">
        <w:t xml:space="preserve"> following each meeting.</w:t>
      </w:r>
      <w:r w:rsidR="00AE19F8" w:rsidRPr="00AE19F8">
        <w:rPr>
          <w:rStyle w:val="FootnoteReference"/>
        </w:rPr>
        <w:t xml:space="preserve"> </w:t>
      </w:r>
      <w:r w:rsidR="00AE19F8">
        <w:rPr>
          <w:rStyle w:val="FootnoteReference"/>
        </w:rPr>
        <w:footnoteReference w:id="7"/>
      </w:r>
    </w:p>
    <w:p w:rsidR="00D753FE" w:rsidRDefault="00D753FE" w:rsidP="00582BB8">
      <w:pPr>
        <w:pStyle w:val="Heading2"/>
      </w:pPr>
      <w:bookmarkStart w:id="44" w:name="_Toc525550525"/>
      <w:bookmarkStart w:id="45" w:name="_Toc523484479"/>
      <w:bookmarkStart w:id="46" w:name="_Toc16602746"/>
      <w:r>
        <w:lastRenderedPageBreak/>
        <w:t>Engagement</w:t>
      </w:r>
      <w:bookmarkEnd w:id="44"/>
      <w:bookmarkEnd w:id="45"/>
      <w:bookmarkEnd w:id="46"/>
    </w:p>
    <w:p w:rsidR="00D753FE" w:rsidRDefault="00D753FE" w:rsidP="00D753FE">
      <w:r>
        <w:t xml:space="preserve">NSOG will maintain regular and effective communication with nominated contacts in organisations contributing to </w:t>
      </w:r>
      <w:r w:rsidR="00CE104D">
        <w:t>NZRIS</w:t>
      </w:r>
      <w:r>
        <w:t>. This is to ensure that changes are well communicated, organisations are able to relay any feedback effectively, and minimise differences of interpretations.</w:t>
      </w:r>
      <w:r w:rsidR="00F46ACB">
        <w:rPr>
          <w:rStyle w:val="FootnoteReference"/>
        </w:rPr>
        <w:footnoteReference w:id="8"/>
      </w:r>
      <w:r>
        <w:t xml:space="preserve">  </w:t>
      </w:r>
    </w:p>
    <w:p w:rsidR="00D753FE" w:rsidRDefault="00D753FE" w:rsidP="00D753FE">
      <w:r>
        <w:t>NSOG will also engage regularly with ‘whole of government’ processes relating to data and information management to ensure its operations reflect these ‘whole of government’ approaches.  As part of this, NSOG will need to align with guidance and direction issued or endorsed by the Government Chief Data Steward (GCDS).</w:t>
      </w:r>
    </w:p>
    <w:p w:rsidR="00D753FE" w:rsidRDefault="00D753FE" w:rsidP="00D753FE">
      <w:r>
        <w:t>Key entities and individuals with which NSOG will engage include the following:</w:t>
      </w:r>
    </w:p>
    <w:p w:rsidR="00D753FE" w:rsidRDefault="00D753FE" w:rsidP="00D753FE">
      <w:pPr>
        <w:numPr>
          <w:ilvl w:val="0"/>
          <w:numId w:val="3"/>
        </w:numPr>
        <w:spacing w:before="0" w:after="200" w:line="276" w:lineRule="auto"/>
        <w:contextualSpacing/>
        <w:rPr>
          <w:rFonts w:eastAsia="Times New Roman"/>
        </w:rPr>
      </w:pPr>
      <w:r>
        <w:rPr>
          <w:rFonts w:eastAsia="Times New Roman"/>
        </w:rPr>
        <w:t xml:space="preserve">nominated contacts from each organisation </w:t>
      </w:r>
      <w:r w:rsidR="002C390B">
        <w:rPr>
          <w:rFonts w:eastAsia="Times New Roman"/>
        </w:rPr>
        <w:t>sharing data with</w:t>
      </w:r>
      <w:r>
        <w:rPr>
          <w:rFonts w:eastAsia="Times New Roman"/>
        </w:rPr>
        <w:t xml:space="preserve"> </w:t>
      </w:r>
      <w:r w:rsidR="00CE104D">
        <w:rPr>
          <w:rFonts w:eastAsia="Times New Roman"/>
        </w:rPr>
        <w:t>NZRIS</w:t>
      </w:r>
    </w:p>
    <w:p w:rsidR="00D753FE" w:rsidRDefault="00D753FE" w:rsidP="00D753FE">
      <w:pPr>
        <w:numPr>
          <w:ilvl w:val="0"/>
          <w:numId w:val="3"/>
        </w:numPr>
        <w:spacing w:before="0" w:after="200" w:line="276" w:lineRule="auto"/>
        <w:contextualSpacing/>
        <w:rPr>
          <w:rFonts w:eastAsia="Times New Roman"/>
        </w:rPr>
      </w:pPr>
      <w:r>
        <w:rPr>
          <w:rFonts w:eastAsia="Times New Roman"/>
        </w:rPr>
        <w:t xml:space="preserve">MBIE as sponsor and host of </w:t>
      </w:r>
      <w:r w:rsidR="00CE104D">
        <w:rPr>
          <w:rFonts w:eastAsia="Times New Roman"/>
        </w:rPr>
        <w:t>NZRIS</w:t>
      </w:r>
    </w:p>
    <w:p w:rsidR="00D753FE" w:rsidRDefault="00D753FE" w:rsidP="00D753FE">
      <w:pPr>
        <w:numPr>
          <w:ilvl w:val="0"/>
          <w:numId w:val="3"/>
        </w:numPr>
        <w:spacing w:before="0" w:after="200" w:line="276" w:lineRule="auto"/>
        <w:contextualSpacing/>
        <w:rPr>
          <w:rFonts w:eastAsia="Times New Roman"/>
        </w:rPr>
      </w:pPr>
      <w:r>
        <w:rPr>
          <w:rFonts w:eastAsia="Times New Roman"/>
        </w:rPr>
        <w:t>Organisations providing funding and other resources to support research</w:t>
      </w:r>
    </w:p>
    <w:p w:rsidR="00D753FE" w:rsidRDefault="00D753FE" w:rsidP="00D753FE">
      <w:pPr>
        <w:numPr>
          <w:ilvl w:val="0"/>
          <w:numId w:val="3"/>
        </w:numPr>
        <w:spacing w:before="0" w:after="200" w:line="276" w:lineRule="auto"/>
        <w:contextualSpacing/>
        <w:rPr>
          <w:rFonts w:eastAsia="Times New Roman"/>
        </w:rPr>
      </w:pPr>
      <w:r>
        <w:rPr>
          <w:rFonts w:eastAsia="Times New Roman"/>
        </w:rPr>
        <w:t xml:space="preserve">Research </w:t>
      </w:r>
      <w:r w:rsidR="00467A00">
        <w:rPr>
          <w:rFonts w:eastAsia="Times New Roman"/>
        </w:rPr>
        <w:t xml:space="preserve">organisations </w:t>
      </w:r>
    </w:p>
    <w:p w:rsidR="00D753FE" w:rsidRDefault="00D753FE" w:rsidP="00D753FE">
      <w:pPr>
        <w:numPr>
          <w:ilvl w:val="0"/>
          <w:numId w:val="3"/>
        </w:numPr>
        <w:spacing w:before="0" w:after="200" w:line="276" w:lineRule="auto"/>
        <w:contextualSpacing/>
        <w:rPr>
          <w:rFonts w:eastAsia="Times New Roman"/>
        </w:rPr>
      </w:pPr>
      <w:r>
        <w:rPr>
          <w:rFonts w:eastAsia="Times New Roman"/>
        </w:rPr>
        <w:t>Māori research organisations</w:t>
      </w:r>
    </w:p>
    <w:p w:rsidR="00D753FE" w:rsidRPr="00AB6D2D" w:rsidRDefault="00D753FE" w:rsidP="00D753FE">
      <w:pPr>
        <w:numPr>
          <w:ilvl w:val="0"/>
          <w:numId w:val="3"/>
        </w:numPr>
        <w:spacing w:before="0" w:after="200" w:line="276" w:lineRule="auto"/>
        <w:contextualSpacing/>
        <w:rPr>
          <w:rFonts w:eastAsia="Times New Roman"/>
        </w:rPr>
      </w:pPr>
      <w:proofErr w:type="spellStart"/>
      <w:r>
        <w:rPr>
          <w:rFonts w:eastAsia="Times New Roman"/>
        </w:rPr>
        <w:t>Te</w:t>
      </w:r>
      <w:proofErr w:type="spellEnd"/>
      <w:r>
        <w:rPr>
          <w:rFonts w:eastAsia="Times New Roman"/>
        </w:rPr>
        <w:t xml:space="preserve"> Mana </w:t>
      </w:r>
      <w:proofErr w:type="spellStart"/>
      <w:r>
        <w:rPr>
          <w:rFonts w:eastAsia="Times New Roman"/>
        </w:rPr>
        <w:t>Raraunga</w:t>
      </w:r>
      <w:proofErr w:type="spellEnd"/>
    </w:p>
    <w:p w:rsidR="00D753FE" w:rsidRDefault="00D753FE" w:rsidP="00D753FE">
      <w:pPr>
        <w:numPr>
          <w:ilvl w:val="0"/>
          <w:numId w:val="3"/>
        </w:numPr>
        <w:spacing w:before="0" w:after="200" w:line="276" w:lineRule="auto"/>
        <w:contextualSpacing/>
        <w:rPr>
          <w:rFonts w:eastAsia="Times New Roman"/>
        </w:rPr>
      </w:pPr>
      <w:r>
        <w:rPr>
          <w:rFonts w:eastAsia="Times New Roman"/>
        </w:rPr>
        <w:t>Interest groups</w:t>
      </w:r>
    </w:p>
    <w:p w:rsidR="00D753FE" w:rsidRDefault="00CE104D" w:rsidP="00D753FE">
      <w:pPr>
        <w:numPr>
          <w:ilvl w:val="0"/>
          <w:numId w:val="3"/>
        </w:numPr>
        <w:spacing w:before="0" w:after="200" w:line="276" w:lineRule="auto"/>
        <w:contextualSpacing/>
        <w:rPr>
          <w:rFonts w:eastAsia="Times New Roman"/>
        </w:rPr>
      </w:pPr>
      <w:r>
        <w:rPr>
          <w:rFonts w:eastAsia="Times New Roman"/>
        </w:rPr>
        <w:t>NZRIS</w:t>
      </w:r>
      <w:r w:rsidR="00D753FE">
        <w:rPr>
          <w:rFonts w:eastAsia="Times New Roman"/>
        </w:rPr>
        <w:t xml:space="preserve"> </w:t>
      </w:r>
      <w:r w:rsidR="00984D23">
        <w:rPr>
          <w:rFonts w:eastAsia="Times New Roman"/>
        </w:rPr>
        <w:t xml:space="preserve">user </w:t>
      </w:r>
      <w:r w:rsidR="00D753FE">
        <w:rPr>
          <w:rFonts w:eastAsia="Times New Roman"/>
        </w:rPr>
        <w:t>groups</w:t>
      </w:r>
    </w:p>
    <w:p w:rsidR="00D753FE" w:rsidRDefault="00D753FE" w:rsidP="00D753FE">
      <w:pPr>
        <w:numPr>
          <w:ilvl w:val="0"/>
          <w:numId w:val="3"/>
        </w:numPr>
        <w:spacing w:before="0" w:after="200" w:line="276" w:lineRule="auto"/>
        <w:contextualSpacing/>
        <w:rPr>
          <w:rFonts w:eastAsia="Times New Roman"/>
        </w:rPr>
      </w:pPr>
      <w:r>
        <w:rPr>
          <w:rFonts w:eastAsia="Times New Roman"/>
        </w:rPr>
        <w:t>Māori community</w:t>
      </w:r>
      <w:r w:rsidR="00984D23">
        <w:rPr>
          <w:rFonts w:eastAsia="Times New Roman"/>
        </w:rPr>
        <w:t xml:space="preserve"> and</w:t>
      </w:r>
      <w:r>
        <w:rPr>
          <w:rFonts w:eastAsia="Times New Roman"/>
        </w:rPr>
        <w:t xml:space="preserve"> Iwi</w:t>
      </w:r>
    </w:p>
    <w:p w:rsidR="005A60AC" w:rsidRDefault="005A60AC" w:rsidP="00D753FE"/>
    <w:p w:rsidR="005A60AC" w:rsidRDefault="005A60AC" w:rsidP="005A60AC">
      <w:r>
        <w:t>Further details on the NSOGs engagement partners, engagement areas and standard processes for engageme</w:t>
      </w:r>
      <w:r w:rsidR="00A11EED">
        <w:t xml:space="preserve">nt in relation to its functions can be found in Appendix 2. </w:t>
      </w:r>
    </w:p>
    <w:p w:rsidR="00D753FE" w:rsidRDefault="00D753FE" w:rsidP="00D64661">
      <w:pPr>
        <w:pStyle w:val="Heading1"/>
      </w:pPr>
      <w:bookmarkStart w:id="47" w:name="_Toc525550529"/>
      <w:bookmarkStart w:id="48" w:name="_Toc523484483"/>
      <w:bookmarkStart w:id="49" w:name="_Toc16602748"/>
      <w:r>
        <w:t>Approval and review of the Terms of Reference</w:t>
      </w:r>
      <w:bookmarkEnd w:id="47"/>
      <w:bookmarkEnd w:id="48"/>
      <w:bookmarkEnd w:id="49"/>
      <w:r w:rsidRPr="00A65372">
        <w:t xml:space="preserve">  </w:t>
      </w:r>
    </w:p>
    <w:p w:rsidR="007E427E" w:rsidRDefault="008A1A27" w:rsidP="007E427E">
      <w:r>
        <w:t xml:space="preserve">These Terms of Reference </w:t>
      </w:r>
      <w:r w:rsidR="00331CD1">
        <w:t xml:space="preserve">cover the </w:t>
      </w:r>
      <w:r w:rsidR="009C1832">
        <w:t xml:space="preserve">first two phases of </w:t>
      </w:r>
      <w:r w:rsidR="00CE104D">
        <w:t>NZRIS</w:t>
      </w:r>
      <w:r w:rsidR="007E427E">
        <w:t xml:space="preserve">. During these phases, research funders will be on-boarded as data providers to </w:t>
      </w:r>
      <w:r w:rsidR="00CE104D">
        <w:t>NZRIS</w:t>
      </w:r>
      <w:r w:rsidR="007E427E">
        <w:t xml:space="preserve">. </w:t>
      </w:r>
      <w:r w:rsidR="009C1832">
        <w:t xml:space="preserve">They do not cover the third phase which is where research organisations would have the opportunity to be </w:t>
      </w:r>
      <w:r w:rsidR="009C1832" w:rsidRPr="009C1832">
        <w:t>on-boarded as data providers to NZRIS.</w:t>
      </w:r>
    </w:p>
    <w:p w:rsidR="00D753FE" w:rsidRDefault="007E427E" w:rsidP="007E427E">
      <w:r>
        <w:t>NSOG will review and update these Terms of Reference</w:t>
      </w:r>
      <w:r w:rsidR="009C1832">
        <w:t xml:space="preserve"> </w:t>
      </w:r>
      <w:r w:rsidR="00A5181B">
        <w:t>towards the end of Phase 2</w:t>
      </w:r>
      <w:r w:rsidR="00F10304">
        <w:t xml:space="preserve"> and </w:t>
      </w:r>
      <w:r w:rsidR="001A3D95">
        <w:t>a</w:t>
      </w:r>
      <w:r w:rsidR="00D753FE">
        <w:t xml:space="preserve">t least every </w:t>
      </w:r>
      <w:r w:rsidR="0018469E">
        <w:t xml:space="preserve">three </w:t>
      </w:r>
      <w:r w:rsidR="00D753FE">
        <w:t>years</w:t>
      </w:r>
      <w:r w:rsidR="00F10304">
        <w:t xml:space="preserve"> subsequently</w:t>
      </w:r>
      <w:r w:rsidR="001A3D95">
        <w:t>. It will</w:t>
      </w:r>
      <w:r w:rsidR="00D753FE">
        <w:t xml:space="preserve"> seek feedback from the </w:t>
      </w:r>
      <w:r w:rsidR="00CE104D">
        <w:t>NZRIS</w:t>
      </w:r>
      <w:r w:rsidR="00D753FE">
        <w:t xml:space="preserve"> data community and consider the need for amendments.</w:t>
      </w:r>
    </w:p>
    <w:p w:rsidR="00D753FE" w:rsidRPr="00280221" w:rsidRDefault="00885BA8" w:rsidP="00D753FE">
      <w:r>
        <w:t>The decision to make a</w:t>
      </w:r>
      <w:r w:rsidR="00D753FE">
        <w:t xml:space="preserve">mendments to the Terms of Reference will normally require </w:t>
      </w:r>
      <w:r w:rsidR="00C75987">
        <w:t>consultation with</w:t>
      </w:r>
      <w:r w:rsidR="00D753FE">
        <w:t xml:space="preserve"> </w:t>
      </w:r>
      <w:r w:rsidR="00D753FE" w:rsidRPr="0024438B">
        <w:t>all organisations sharing data</w:t>
      </w:r>
      <w:r w:rsidR="00D753FE">
        <w:t xml:space="preserve"> before they take effect. Where consensus cannot be reached </w:t>
      </w:r>
      <w:r w:rsidR="00C75987">
        <w:t>through such consultation</w:t>
      </w:r>
      <w:r w:rsidR="00D753FE">
        <w:t xml:space="preserve">, </w:t>
      </w:r>
      <w:r w:rsidR="004C54B6">
        <w:t>a decision may b</w:t>
      </w:r>
      <w:r w:rsidR="004C54B6" w:rsidRPr="00AE19F8">
        <w:t xml:space="preserve">e made by a </w:t>
      </w:r>
      <w:r w:rsidR="004C54B6" w:rsidRPr="0024438B">
        <w:t xml:space="preserve">75% majority of those attending </w:t>
      </w:r>
      <w:r w:rsidR="00C75987" w:rsidRPr="0024438B">
        <w:t xml:space="preserve">a NSOG </w:t>
      </w:r>
      <w:r w:rsidR="004C54B6" w:rsidRPr="0024438B">
        <w:t>meeting and participating in the decision</w:t>
      </w:r>
      <w:r w:rsidR="004C54B6" w:rsidRPr="00AE19F8">
        <w:t>.</w:t>
      </w:r>
      <w:r w:rsidR="004C54B6">
        <w:t xml:space="preserve"> If neither </w:t>
      </w:r>
      <w:r w:rsidR="00D2623A">
        <w:t xml:space="preserve">a consensus nor majority is reached, then </w:t>
      </w:r>
      <w:r w:rsidR="00140432">
        <w:t xml:space="preserve">the </w:t>
      </w:r>
      <w:r w:rsidR="00D2623A">
        <w:t xml:space="preserve">Chairperson and </w:t>
      </w:r>
      <w:r w:rsidR="00D753FE">
        <w:t>MBIE may make a determination as to what amendments will be made to the Terms of Reference.</w:t>
      </w:r>
      <w:r w:rsidR="00D753FE" w:rsidRPr="00280221">
        <w:t xml:space="preserve"> </w:t>
      </w:r>
    </w:p>
    <w:p w:rsidR="00CE2DC8" w:rsidRDefault="0008711E" w:rsidP="00582BB8">
      <w:pPr>
        <w:pStyle w:val="Heading2"/>
      </w:pPr>
      <w:r>
        <w:br w:type="page"/>
      </w:r>
      <w:bookmarkStart w:id="50" w:name="_Toc16602749"/>
      <w:r>
        <w:lastRenderedPageBreak/>
        <w:t>Appendix 1: Initial appointment of NSOG members</w:t>
      </w:r>
      <w:bookmarkEnd w:id="50"/>
    </w:p>
    <w:p w:rsidR="0008711E" w:rsidRDefault="0008711E" w:rsidP="0008711E">
      <w:r>
        <w:t xml:space="preserve">In the initial establishment of NSOG, the appointment of members </w:t>
      </w:r>
      <w:r w:rsidR="003D4B0B">
        <w:t>occurred</w:t>
      </w:r>
      <w:r>
        <w:t xml:space="preserve"> as follows:</w:t>
      </w:r>
    </w:p>
    <w:p w:rsidR="0008711E" w:rsidRDefault="0008711E" w:rsidP="0008711E">
      <w:pPr>
        <w:numPr>
          <w:ilvl w:val="0"/>
          <w:numId w:val="8"/>
        </w:numPr>
      </w:pPr>
      <w:r>
        <w:t xml:space="preserve">As the </w:t>
      </w:r>
      <w:r w:rsidR="00C75987">
        <w:t>principal</w:t>
      </w:r>
      <w:r>
        <w:t xml:space="preserve"> funder of </w:t>
      </w:r>
      <w:r w:rsidR="00C75987">
        <w:t xml:space="preserve">the </w:t>
      </w:r>
      <w:r>
        <w:t>NZRIS, MBIE call</w:t>
      </w:r>
      <w:r w:rsidR="009E0CDE">
        <w:t>ed</w:t>
      </w:r>
      <w:r>
        <w:t xml:space="preserve"> for nominations on membership to NSOG. Nominations </w:t>
      </w:r>
      <w:r w:rsidR="009E0CDE">
        <w:t>could</w:t>
      </w:r>
      <w:r>
        <w:t xml:space="preserve"> be made by any individual with authority to endorse the skills and experience of the nominee.</w:t>
      </w:r>
    </w:p>
    <w:p w:rsidR="0008711E" w:rsidRDefault="0008711E" w:rsidP="0008711E">
      <w:pPr>
        <w:numPr>
          <w:ilvl w:val="0"/>
          <w:numId w:val="8"/>
        </w:numPr>
      </w:pPr>
      <w:r>
        <w:t>MBIE consult</w:t>
      </w:r>
      <w:r w:rsidR="009E0CDE">
        <w:t>ed</w:t>
      </w:r>
      <w:r>
        <w:t xml:space="preserve"> on an Independent Chairperson from the appropriate representative from organisations providing data to NZRIS in Phases 1 and 2 (which run until 31 May 2020 and will on-board RSI funders).  </w:t>
      </w:r>
    </w:p>
    <w:p w:rsidR="0008711E" w:rsidRDefault="0008711E" w:rsidP="0008711E">
      <w:pPr>
        <w:numPr>
          <w:ilvl w:val="0"/>
          <w:numId w:val="8"/>
        </w:numPr>
      </w:pPr>
      <w:r>
        <w:t xml:space="preserve">Once </w:t>
      </w:r>
      <w:r w:rsidR="009E0CDE">
        <w:t>the Chairperson was</w:t>
      </w:r>
      <w:r>
        <w:t xml:space="preserve"> appointed, the</w:t>
      </w:r>
      <w:r w:rsidR="009E0CDE">
        <w:t>y</w:t>
      </w:r>
      <w:r>
        <w:t xml:space="preserve"> and MBIE agree</w:t>
      </w:r>
      <w:r w:rsidR="009E0CDE">
        <w:t>d</w:t>
      </w:r>
      <w:r>
        <w:t xml:space="preserve"> on a proposed list of members for NSOG and s</w:t>
      </w:r>
      <w:r w:rsidR="009E0CDE">
        <w:t>ought</w:t>
      </w:r>
      <w:r>
        <w:t xml:space="preserve"> feedback from organisations sharing data in Phases 1 and 2. MBIE and the Chairperson consider</w:t>
      </w:r>
      <w:r w:rsidR="009E0CDE">
        <w:t>ed</w:t>
      </w:r>
      <w:r>
        <w:t xml:space="preserve"> that feedback and ma</w:t>
      </w:r>
      <w:r w:rsidR="009E0CDE">
        <w:t>de</w:t>
      </w:r>
      <w:r>
        <w:t xml:space="preserve"> a final decision concerning the membership of NSOG. </w:t>
      </w:r>
    </w:p>
    <w:p w:rsidR="009E0CDE" w:rsidRDefault="009E0CDE" w:rsidP="00582BB8">
      <w:r>
        <w:t>The appointment of the initial membership of NSOG was announced in June 2019.</w:t>
      </w:r>
    </w:p>
    <w:p w:rsidR="009E0CDE" w:rsidRDefault="009E0CDE" w:rsidP="00582BB8">
      <w:r>
        <w:t xml:space="preserve">The members of NSOG </w:t>
      </w:r>
      <w:r w:rsidR="003D4B0B">
        <w:t xml:space="preserve">as at 1 August 2019 </w:t>
      </w:r>
      <w:r>
        <w:t>are:</w:t>
      </w:r>
    </w:p>
    <w:p w:rsidR="009E0CDE" w:rsidRDefault="009E0CDE" w:rsidP="00582BB8">
      <w:pPr>
        <w:numPr>
          <w:ilvl w:val="0"/>
          <w:numId w:val="12"/>
        </w:numPr>
      </w:pPr>
      <w:r>
        <w:t>Professor Richard Blaikie (NSOG Chair), University of Otago</w:t>
      </w:r>
    </w:p>
    <w:p w:rsidR="009E0CDE" w:rsidRDefault="009E0CDE" w:rsidP="00582BB8">
      <w:pPr>
        <w:numPr>
          <w:ilvl w:val="0"/>
          <w:numId w:val="12"/>
        </w:numPr>
      </w:pPr>
      <w:r>
        <w:t xml:space="preserve">Esther </w:t>
      </w:r>
      <w:proofErr w:type="spellStart"/>
      <w:r>
        <w:t>Viljoen</w:t>
      </w:r>
      <w:proofErr w:type="spellEnd"/>
      <w:r>
        <w:t>, Health Research Council</w:t>
      </w:r>
    </w:p>
    <w:p w:rsidR="009E0CDE" w:rsidRDefault="009E0CDE" w:rsidP="00582BB8">
      <w:pPr>
        <w:numPr>
          <w:ilvl w:val="0"/>
          <w:numId w:val="12"/>
        </w:numPr>
      </w:pPr>
      <w:r>
        <w:t xml:space="preserve">Dr Jason Gush, Royal Society </w:t>
      </w:r>
      <w:proofErr w:type="spellStart"/>
      <w:r>
        <w:t>Te</w:t>
      </w:r>
      <w:proofErr w:type="spellEnd"/>
      <w:r>
        <w:t xml:space="preserve"> </w:t>
      </w:r>
      <w:proofErr w:type="spellStart"/>
      <w:r>
        <w:t>Apārangi</w:t>
      </w:r>
      <w:proofErr w:type="spellEnd"/>
    </w:p>
    <w:p w:rsidR="009E0CDE" w:rsidRDefault="009E0CDE" w:rsidP="00582BB8">
      <w:pPr>
        <w:numPr>
          <w:ilvl w:val="0"/>
          <w:numId w:val="12"/>
        </w:numPr>
      </w:pPr>
      <w:r>
        <w:t>Dr Paul Hoskin, GNS Science</w:t>
      </w:r>
    </w:p>
    <w:p w:rsidR="009E0CDE" w:rsidRDefault="009E0CDE" w:rsidP="00582BB8">
      <w:pPr>
        <w:numPr>
          <w:ilvl w:val="0"/>
          <w:numId w:val="12"/>
        </w:numPr>
      </w:pPr>
      <w:r>
        <w:t>Pamela Moss, University of Auckland</w:t>
      </w:r>
    </w:p>
    <w:p w:rsidR="009E0CDE" w:rsidRDefault="009E0CDE" w:rsidP="00582BB8">
      <w:pPr>
        <w:numPr>
          <w:ilvl w:val="0"/>
          <w:numId w:val="12"/>
        </w:numPr>
      </w:pPr>
      <w:r>
        <w:t>Dr Alex James</w:t>
      </w:r>
      <w:r w:rsidR="00115D92">
        <w:t xml:space="preserve">, </w:t>
      </w:r>
      <w:r w:rsidR="00115D92" w:rsidRPr="00115D92">
        <w:t>University of Canterbury</w:t>
      </w:r>
      <w:r w:rsidR="00115D92">
        <w:t>/</w:t>
      </w:r>
      <w:r w:rsidR="00115D92" w:rsidRPr="00115D92">
        <w:t xml:space="preserve"> </w:t>
      </w:r>
      <w:proofErr w:type="spellStart"/>
      <w:r w:rsidR="00115D92" w:rsidRPr="00115D92">
        <w:t>Te</w:t>
      </w:r>
      <w:proofErr w:type="spellEnd"/>
      <w:r w:rsidR="00115D92" w:rsidRPr="00115D92">
        <w:t xml:space="preserve"> </w:t>
      </w:r>
      <w:proofErr w:type="spellStart"/>
      <w:r w:rsidR="00115D92" w:rsidRPr="00115D92">
        <w:t>Pūnaha</w:t>
      </w:r>
      <w:proofErr w:type="spellEnd"/>
      <w:r w:rsidR="00115D92" w:rsidRPr="00115D92">
        <w:t xml:space="preserve"> </w:t>
      </w:r>
      <w:proofErr w:type="spellStart"/>
      <w:r w:rsidR="00115D92" w:rsidRPr="00115D92">
        <w:t>Matatini</w:t>
      </w:r>
      <w:proofErr w:type="spellEnd"/>
      <w:r w:rsidR="00115D92">
        <w:t>, University of Auckland</w:t>
      </w:r>
    </w:p>
    <w:p w:rsidR="009E0CDE" w:rsidRDefault="009E0CDE" w:rsidP="00582BB8">
      <w:pPr>
        <w:numPr>
          <w:ilvl w:val="0"/>
          <w:numId w:val="12"/>
        </w:numPr>
      </w:pPr>
      <w:r>
        <w:t>Dr Donna Cormack</w:t>
      </w:r>
      <w:r w:rsidR="00115D92">
        <w:t xml:space="preserve">, </w:t>
      </w:r>
      <w:r w:rsidR="00115D92" w:rsidRPr="00115D92">
        <w:t>University of Otago</w:t>
      </w:r>
      <w:r w:rsidR="00115D92">
        <w:t>/</w:t>
      </w:r>
      <w:proofErr w:type="spellStart"/>
      <w:r w:rsidR="00115D92" w:rsidRPr="00115D92">
        <w:t>Te</w:t>
      </w:r>
      <w:proofErr w:type="spellEnd"/>
      <w:r w:rsidR="00115D92" w:rsidRPr="00115D92">
        <w:t xml:space="preserve"> </w:t>
      </w:r>
      <w:proofErr w:type="spellStart"/>
      <w:r w:rsidR="00115D92" w:rsidRPr="00115D92">
        <w:t>Kupenga</w:t>
      </w:r>
      <w:proofErr w:type="spellEnd"/>
      <w:r w:rsidR="00115D92" w:rsidRPr="00115D92">
        <w:t xml:space="preserve"> Hauora Māori, University of Auckland</w:t>
      </w:r>
    </w:p>
    <w:p w:rsidR="009E0CDE" w:rsidRDefault="009E0CDE" w:rsidP="00582BB8">
      <w:pPr>
        <w:numPr>
          <w:ilvl w:val="0"/>
          <w:numId w:val="12"/>
        </w:numPr>
      </w:pPr>
      <w:r>
        <w:t>Russell Cooke</w:t>
      </w:r>
      <w:r w:rsidR="00115D92">
        <w:t>, Department of Internal Affairs</w:t>
      </w:r>
    </w:p>
    <w:p w:rsidR="009E0CDE" w:rsidRDefault="009E0CDE" w:rsidP="00582BB8">
      <w:pPr>
        <w:numPr>
          <w:ilvl w:val="0"/>
          <w:numId w:val="12"/>
        </w:numPr>
      </w:pPr>
      <w:r>
        <w:t>Reece Moors</w:t>
      </w:r>
      <w:r w:rsidR="00115D92">
        <w:t xml:space="preserve">, </w:t>
      </w:r>
      <w:r w:rsidR="00115D92" w:rsidRPr="00115D92">
        <w:t>Science for Technological Innovation – National Science Challenge</w:t>
      </w:r>
    </w:p>
    <w:p w:rsidR="009E0CDE" w:rsidRDefault="009E0CDE" w:rsidP="00582BB8">
      <w:pPr>
        <w:numPr>
          <w:ilvl w:val="0"/>
          <w:numId w:val="12"/>
        </w:numPr>
      </w:pPr>
      <w:r>
        <w:t>Joanne Looyen</w:t>
      </w:r>
      <w:r w:rsidR="00115D92">
        <w:t>, Ministry of Business, Innovation and Employment</w:t>
      </w:r>
    </w:p>
    <w:p w:rsidR="0008711E" w:rsidRDefault="0008711E"/>
    <w:p w:rsidR="00A11EED" w:rsidRDefault="00A11EED" w:rsidP="00582BB8">
      <w:pPr>
        <w:pStyle w:val="Heading2"/>
      </w:pPr>
      <w:r>
        <w:br w:type="page"/>
      </w:r>
      <w:bookmarkStart w:id="51" w:name="_Toc16602750"/>
      <w:r>
        <w:lastRenderedPageBreak/>
        <w:t>Appendix 2: Engagement</w:t>
      </w:r>
      <w:bookmarkEnd w:id="51"/>
    </w:p>
    <w:p w:rsidR="00D1614C" w:rsidRDefault="003D4B0B">
      <w:r>
        <w:t xml:space="preserve">The table below outlines the areas and processes related to NZRIS that the NSOG expects to engage with stakeholders on. It also outlines the key stakeholder, noting that this list may not be exhaustive. It also sets out the likely types of engagement processes related to these areas. The MBIE Secretariat and the NZRIS team will provide support to NSOG as required regarding the engagement channels.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969"/>
        <w:gridCol w:w="2126"/>
      </w:tblGrid>
      <w:tr w:rsidR="009A5280" w:rsidRPr="00F46ACB" w:rsidTr="00582BB8">
        <w:trPr>
          <w:tblHeader/>
        </w:trPr>
        <w:tc>
          <w:tcPr>
            <w:tcW w:w="3227" w:type="dxa"/>
          </w:tcPr>
          <w:p w:rsidR="009A5280" w:rsidRPr="00582BB8" w:rsidRDefault="009A5280" w:rsidP="00885BA8">
            <w:pPr>
              <w:pStyle w:val="NoSpacing"/>
              <w:rPr>
                <w:rFonts w:ascii="Calibri" w:hAnsi="Calibri" w:cs="Calibri"/>
                <w:b/>
                <w:sz w:val="20"/>
              </w:rPr>
            </w:pPr>
            <w:r w:rsidRPr="00582BB8">
              <w:rPr>
                <w:rFonts w:ascii="Calibri" w:hAnsi="Calibri" w:cs="Calibri"/>
                <w:b/>
                <w:sz w:val="20"/>
              </w:rPr>
              <w:t>Areas and/or processes of focus for engagement</w:t>
            </w:r>
          </w:p>
        </w:tc>
        <w:tc>
          <w:tcPr>
            <w:tcW w:w="3969" w:type="dxa"/>
          </w:tcPr>
          <w:p w:rsidR="009A5280" w:rsidRPr="00582BB8" w:rsidRDefault="009A5280" w:rsidP="00885BA8">
            <w:pPr>
              <w:pStyle w:val="NoSpacing"/>
              <w:rPr>
                <w:rFonts w:ascii="Calibri" w:hAnsi="Calibri" w:cs="Calibri"/>
                <w:b/>
                <w:sz w:val="20"/>
              </w:rPr>
            </w:pPr>
            <w:r w:rsidRPr="00582BB8">
              <w:rPr>
                <w:rFonts w:ascii="Calibri" w:hAnsi="Calibri" w:cs="Calibri"/>
                <w:b/>
                <w:sz w:val="20"/>
              </w:rPr>
              <w:t>Engagement partner</w:t>
            </w:r>
          </w:p>
        </w:tc>
        <w:tc>
          <w:tcPr>
            <w:tcW w:w="2126" w:type="dxa"/>
          </w:tcPr>
          <w:p w:rsidR="009A5280" w:rsidRPr="00582BB8" w:rsidRDefault="009A5280" w:rsidP="00885BA8">
            <w:pPr>
              <w:pStyle w:val="NoSpacing"/>
              <w:rPr>
                <w:rFonts w:ascii="Calibri" w:hAnsi="Calibri" w:cs="Calibri"/>
                <w:b/>
                <w:sz w:val="20"/>
              </w:rPr>
            </w:pPr>
            <w:r w:rsidRPr="00582BB8">
              <w:rPr>
                <w:rFonts w:ascii="Calibri" w:hAnsi="Calibri" w:cs="Calibri"/>
                <w:b/>
                <w:sz w:val="20"/>
              </w:rPr>
              <w:t>Engagement processes</w:t>
            </w:r>
          </w:p>
        </w:tc>
      </w:tr>
      <w:tr w:rsidR="009A5280" w:rsidRPr="00F46ACB" w:rsidTr="00582BB8">
        <w:tc>
          <w:tcPr>
            <w:tcW w:w="3227" w:type="dxa"/>
          </w:tcPr>
          <w:p w:rsidR="009A5280" w:rsidRPr="00742DAA" w:rsidRDefault="009A5280" w:rsidP="00582BB8">
            <w:pPr>
              <w:pStyle w:val="NoSpacing"/>
              <w:spacing w:after="240"/>
              <w:rPr>
                <w:rFonts w:ascii="Calibri" w:hAnsi="Calibri" w:cs="Calibri"/>
                <w:sz w:val="20"/>
              </w:rPr>
            </w:pPr>
            <w:r w:rsidRPr="00742DAA">
              <w:rPr>
                <w:rFonts w:ascii="Calibri" w:hAnsi="Calibri" w:cs="Calibri"/>
                <w:sz w:val="20"/>
              </w:rPr>
              <w:t>Revision of Data specifications</w:t>
            </w:r>
          </w:p>
          <w:p w:rsidR="009A5280" w:rsidRPr="00742DAA" w:rsidRDefault="009A5280" w:rsidP="00582BB8">
            <w:pPr>
              <w:pStyle w:val="NoSpacing"/>
              <w:spacing w:after="240"/>
              <w:rPr>
                <w:rFonts w:ascii="Calibri" w:hAnsi="Calibri" w:cs="Calibri"/>
                <w:sz w:val="20"/>
              </w:rPr>
            </w:pPr>
            <w:r w:rsidRPr="00742DAA">
              <w:rPr>
                <w:rFonts w:ascii="Calibri" w:hAnsi="Calibri" w:cs="Calibri"/>
                <w:sz w:val="20"/>
              </w:rPr>
              <w:t xml:space="preserve">Data transfer protocols </w:t>
            </w:r>
          </w:p>
          <w:p w:rsidR="009A5280" w:rsidRPr="00742DAA" w:rsidRDefault="009A5280" w:rsidP="00582BB8">
            <w:pPr>
              <w:pStyle w:val="NoSpacing"/>
              <w:spacing w:after="240"/>
              <w:rPr>
                <w:rFonts w:ascii="Calibri" w:hAnsi="Calibri" w:cs="Calibri"/>
                <w:sz w:val="20"/>
              </w:rPr>
            </w:pPr>
            <w:r w:rsidRPr="00742DAA">
              <w:rPr>
                <w:rFonts w:ascii="Calibri" w:hAnsi="Calibri" w:cs="Calibri"/>
                <w:sz w:val="20"/>
              </w:rPr>
              <w:t>Data security standards</w:t>
            </w:r>
          </w:p>
          <w:p w:rsidR="009A5280" w:rsidRPr="00742DAA" w:rsidRDefault="00410969" w:rsidP="00582BB8">
            <w:pPr>
              <w:pStyle w:val="NoSpacing"/>
              <w:rPr>
                <w:rFonts w:ascii="Calibri" w:hAnsi="Calibri" w:cs="Calibri"/>
                <w:sz w:val="20"/>
              </w:rPr>
            </w:pPr>
            <w:r w:rsidRPr="00742DAA">
              <w:rPr>
                <w:rFonts w:ascii="Calibri" w:hAnsi="Calibri" w:cs="Calibri"/>
                <w:sz w:val="20"/>
              </w:rPr>
              <w:t>Data transfer model</w:t>
            </w:r>
          </w:p>
        </w:tc>
        <w:tc>
          <w:tcPr>
            <w:tcW w:w="3969" w:type="dxa"/>
          </w:tcPr>
          <w:p w:rsidR="009A5280" w:rsidRPr="00742DAA" w:rsidRDefault="009A5280" w:rsidP="00D1614C">
            <w:pPr>
              <w:pStyle w:val="NoSpacing"/>
              <w:numPr>
                <w:ilvl w:val="0"/>
                <w:numId w:val="5"/>
              </w:numPr>
              <w:ind w:left="344" w:hanging="213"/>
              <w:rPr>
                <w:rFonts w:ascii="Calibri" w:hAnsi="Calibri" w:cs="Calibri"/>
                <w:sz w:val="20"/>
              </w:rPr>
            </w:pPr>
            <w:r w:rsidRPr="0024438B">
              <w:rPr>
                <w:rFonts w:ascii="Calibri" w:hAnsi="Calibri" w:cs="Calibri"/>
                <w:sz w:val="20"/>
              </w:rPr>
              <w:t>MBIE – as sponsor</w:t>
            </w:r>
            <w:r w:rsidRPr="00742DAA">
              <w:rPr>
                <w:rFonts w:ascii="Calibri" w:hAnsi="Calibri" w:cs="Calibri"/>
                <w:sz w:val="20"/>
              </w:rPr>
              <w:t xml:space="preserve"> and host of NZRIS </w:t>
            </w:r>
          </w:p>
          <w:p w:rsidR="009A5280" w:rsidRPr="00742DAA" w:rsidRDefault="009A5280" w:rsidP="00582BB8">
            <w:pPr>
              <w:pStyle w:val="NoSpacing"/>
              <w:numPr>
                <w:ilvl w:val="0"/>
                <w:numId w:val="5"/>
              </w:numPr>
              <w:ind w:left="344" w:hanging="213"/>
              <w:rPr>
                <w:rFonts w:ascii="Calibri" w:hAnsi="Calibri" w:cs="Calibri"/>
                <w:sz w:val="20"/>
              </w:rPr>
            </w:pPr>
            <w:proofErr w:type="spellStart"/>
            <w:r w:rsidRPr="00742DAA">
              <w:rPr>
                <w:rFonts w:ascii="Calibri" w:hAnsi="Calibri" w:cs="Calibri"/>
                <w:sz w:val="20"/>
              </w:rPr>
              <w:t>Te</w:t>
            </w:r>
            <w:proofErr w:type="spellEnd"/>
            <w:r w:rsidRPr="00742DAA">
              <w:rPr>
                <w:rFonts w:ascii="Calibri" w:hAnsi="Calibri" w:cs="Calibri"/>
                <w:sz w:val="20"/>
              </w:rPr>
              <w:t xml:space="preserve"> Mana </w:t>
            </w:r>
            <w:proofErr w:type="spellStart"/>
            <w:r w:rsidRPr="00742DAA">
              <w:rPr>
                <w:rFonts w:ascii="Calibri" w:hAnsi="Calibri" w:cs="Calibri"/>
                <w:sz w:val="20"/>
              </w:rPr>
              <w:t>Raraunga</w:t>
            </w:r>
            <w:proofErr w:type="spellEnd"/>
            <w:r w:rsidRPr="00742DAA">
              <w:rPr>
                <w:rFonts w:ascii="Calibri" w:hAnsi="Calibri" w:cs="Calibri"/>
                <w:sz w:val="20"/>
              </w:rPr>
              <w:t xml:space="preserve"> as Māori Data Sovereignty Network </w:t>
            </w:r>
          </w:p>
          <w:p w:rsidR="009A5280" w:rsidRPr="00742DAA" w:rsidRDefault="009A5280" w:rsidP="00582BB8">
            <w:pPr>
              <w:pStyle w:val="NoSpacing"/>
              <w:numPr>
                <w:ilvl w:val="0"/>
                <w:numId w:val="5"/>
              </w:numPr>
              <w:ind w:left="344" w:hanging="213"/>
              <w:rPr>
                <w:rFonts w:ascii="Calibri" w:hAnsi="Calibri" w:cs="Calibri"/>
                <w:sz w:val="20"/>
              </w:rPr>
            </w:pPr>
            <w:r w:rsidRPr="00742DAA">
              <w:rPr>
                <w:rFonts w:ascii="Calibri" w:hAnsi="Calibri" w:cs="Calibri"/>
                <w:sz w:val="20"/>
              </w:rPr>
              <w:t>Iwi Chairs Forum</w:t>
            </w:r>
            <w:r w:rsidR="00F52D53" w:rsidRPr="00742DAA">
              <w:rPr>
                <w:rFonts w:ascii="Calibri" w:hAnsi="Calibri" w:cs="Calibri"/>
                <w:sz w:val="20"/>
              </w:rPr>
              <w:t xml:space="preserve"> </w:t>
            </w:r>
            <w:r w:rsidRPr="00742DAA">
              <w:rPr>
                <w:rFonts w:ascii="Calibri" w:hAnsi="Calibri" w:cs="Calibri"/>
                <w:sz w:val="20"/>
              </w:rPr>
              <w:t>– Data Group</w:t>
            </w:r>
          </w:p>
          <w:p w:rsidR="009A5280" w:rsidRPr="00742DAA" w:rsidRDefault="009A5280" w:rsidP="00582BB8">
            <w:pPr>
              <w:pStyle w:val="NoSpacing"/>
              <w:numPr>
                <w:ilvl w:val="0"/>
                <w:numId w:val="5"/>
              </w:numPr>
              <w:ind w:left="344" w:hanging="213"/>
              <w:rPr>
                <w:rFonts w:ascii="Calibri" w:hAnsi="Calibri" w:cs="Calibri"/>
                <w:sz w:val="20"/>
              </w:rPr>
            </w:pPr>
            <w:r w:rsidRPr="00742DAA">
              <w:rPr>
                <w:rFonts w:ascii="Calibri" w:hAnsi="Calibri" w:cs="Calibri"/>
                <w:sz w:val="20"/>
              </w:rPr>
              <w:t>Public Good Funders – as providers of data to and users of NZRIS (including MBIE as funder)</w:t>
            </w:r>
          </w:p>
          <w:p w:rsidR="009A5280" w:rsidRPr="00742DAA" w:rsidRDefault="009A5280" w:rsidP="00582BB8">
            <w:pPr>
              <w:pStyle w:val="NoSpacing"/>
              <w:numPr>
                <w:ilvl w:val="0"/>
                <w:numId w:val="5"/>
              </w:numPr>
              <w:ind w:left="344" w:hanging="213"/>
              <w:rPr>
                <w:rFonts w:ascii="Calibri" w:hAnsi="Calibri" w:cs="Calibri"/>
                <w:sz w:val="20"/>
              </w:rPr>
            </w:pPr>
            <w:r w:rsidRPr="00742DAA">
              <w:rPr>
                <w:rFonts w:ascii="Calibri" w:hAnsi="Calibri" w:cs="Calibri"/>
                <w:sz w:val="20"/>
              </w:rPr>
              <w:t>Other funding organisations - as providers of data to and users of NZRIS</w:t>
            </w:r>
          </w:p>
          <w:p w:rsidR="009A5280" w:rsidRPr="00742DAA" w:rsidRDefault="009A5280" w:rsidP="00582BB8">
            <w:pPr>
              <w:pStyle w:val="NoSpacing"/>
              <w:numPr>
                <w:ilvl w:val="0"/>
                <w:numId w:val="5"/>
              </w:numPr>
              <w:ind w:left="344" w:hanging="213"/>
              <w:rPr>
                <w:rFonts w:ascii="Calibri" w:hAnsi="Calibri" w:cs="Calibri"/>
                <w:sz w:val="20"/>
              </w:rPr>
            </w:pPr>
            <w:r w:rsidRPr="00742DAA">
              <w:rPr>
                <w:rFonts w:ascii="Calibri" w:hAnsi="Calibri" w:cs="Calibri"/>
                <w:sz w:val="20"/>
              </w:rPr>
              <w:t>Research Providers</w:t>
            </w:r>
          </w:p>
          <w:p w:rsidR="009A5280" w:rsidRPr="00742DAA" w:rsidRDefault="009A5280" w:rsidP="00582BB8">
            <w:pPr>
              <w:pStyle w:val="NoSpacing"/>
              <w:numPr>
                <w:ilvl w:val="0"/>
                <w:numId w:val="5"/>
              </w:numPr>
              <w:ind w:left="344" w:hanging="213"/>
              <w:rPr>
                <w:rFonts w:ascii="Calibri" w:hAnsi="Calibri" w:cs="Calibri"/>
                <w:sz w:val="20"/>
              </w:rPr>
            </w:pPr>
            <w:r w:rsidRPr="00742DAA">
              <w:rPr>
                <w:rFonts w:ascii="Calibri" w:hAnsi="Calibri" w:cs="Calibri"/>
                <w:sz w:val="20"/>
              </w:rPr>
              <w:t>Māori Research Organisations</w:t>
            </w:r>
          </w:p>
          <w:p w:rsidR="009A5280" w:rsidRPr="00742DAA" w:rsidRDefault="009A5280" w:rsidP="00582BB8">
            <w:pPr>
              <w:pStyle w:val="NoSpacing"/>
              <w:numPr>
                <w:ilvl w:val="0"/>
                <w:numId w:val="5"/>
              </w:numPr>
              <w:ind w:left="344" w:hanging="213"/>
              <w:rPr>
                <w:rFonts w:ascii="Calibri" w:hAnsi="Calibri" w:cs="Calibri"/>
                <w:sz w:val="20"/>
              </w:rPr>
            </w:pPr>
            <w:r w:rsidRPr="00742DAA">
              <w:rPr>
                <w:rFonts w:ascii="Calibri" w:hAnsi="Calibri" w:cs="Calibri"/>
                <w:sz w:val="20"/>
              </w:rPr>
              <w:t>The Government Chief Data Steward, the Digital Government Information Group, and other public sector organisations with data governance and oversight functions (e</w:t>
            </w:r>
            <w:r w:rsidR="00F52D53" w:rsidRPr="00742DAA">
              <w:rPr>
                <w:rFonts w:ascii="Calibri" w:hAnsi="Calibri" w:cs="Calibri"/>
                <w:sz w:val="20"/>
              </w:rPr>
              <w:t>.</w:t>
            </w:r>
            <w:r w:rsidRPr="00742DAA">
              <w:rPr>
                <w:rFonts w:ascii="Calibri" w:hAnsi="Calibri" w:cs="Calibri"/>
                <w:sz w:val="20"/>
              </w:rPr>
              <w:t>g</w:t>
            </w:r>
            <w:r w:rsidR="00F52D53" w:rsidRPr="00742DAA">
              <w:rPr>
                <w:rFonts w:ascii="Calibri" w:hAnsi="Calibri" w:cs="Calibri"/>
                <w:sz w:val="20"/>
              </w:rPr>
              <w:t>.</w:t>
            </w:r>
            <w:r w:rsidRPr="00742DAA">
              <w:rPr>
                <w:rFonts w:ascii="Calibri" w:hAnsi="Calibri" w:cs="Calibri"/>
                <w:sz w:val="20"/>
              </w:rPr>
              <w:t xml:space="preserve"> Stats NZ, Archives NZ)</w:t>
            </w:r>
          </w:p>
          <w:p w:rsidR="009A5280" w:rsidRPr="00742DAA" w:rsidRDefault="009A5280" w:rsidP="00582BB8">
            <w:pPr>
              <w:pStyle w:val="NoSpacing"/>
              <w:numPr>
                <w:ilvl w:val="0"/>
                <w:numId w:val="5"/>
              </w:numPr>
              <w:ind w:left="344" w:hanging="213"/>
              <w:rPr>
                <w:rFonts w:ascii="Calibri" w:hAnsi="Calibri" w:cs="Calibri"/>
                <w:sz w:val="20"/>
              </w:rPr>
            </w:pPr>
            <w:r w:rsidRPr="00742DAA">
              <w:rPr>
                <w:rFonts w:ascii="Calibri" w:hAnsi="Calibri" w:cs="Calibri"/>
                <w:sz w:val="20"/>
              </w:rPr>
              <w:t>Interest gro</w:t>
            </w:r>
            <w:r w:rsidR="00F52D53" w:rsidRPr="00742DAA">
              <w:rPr>
                <w:rFonts w:ascii="Calibri" w:hAnsi="Calibri" w:cs="Calibri"/>
                <w:sz w:val="20"/>
              </w:rPr>
              <w:t>ups and NZRIS User groups (e.g.</w:t>
            </w:r>
            <w:r w:rsidRPr="00742DAA">
              <w:rPr>
                <w:rFonts w:ascii="Calibri" w:hAnsi="Calibri" w:cs="Calibri"/>
                <w:sz w:val="20"/>
              </w:rPr>
              <w:t xml:space="preserve"> researchers, private sector, data collection holders)</w:t>
            </w:r>
          </w:p>
          <w:p w:rsidR="009A5280" w:rsidRPr="00742DAA" w:rsidRDefault="009A5280" w:rsidP="00582BB8">
            <w:pPr>
              <w:pStyle w:val="NoSpacing"/>
              <w:numPr>
                <w:ilvl w:val="0"/>
                <w:numId w:val="5"/>
              </w:numPr>
              <w:ind w:left="344" w:hanging="213"/>
              <w:rPr>
                <w:rFonts w:ascii="Calibri" w:hAnsi="Calibri" w:cs="Calibri"/>
                <w:sz w:val="20"/>
              </w:rPr>
            </w:pPr>
            <w:r w:rsidRPr="00742DAA">
              <w:rPr>
                <w:rFonts w:ascii="Calibri" w:hAnsi="Calibri" w:cs="Calibri"/>
                <w:sz w:val="20"/>
              </w:rPr>
              <w:t>General public</w:t>
            </w:r>
            <w:r w:rsidR="003D4B0B" w:rsidRPr="00742DAA">
              <w:rPr>
                <w:rFonts w:ascii="Calibri" w:hAnsi="Calibri" w:cs="Calibri"/>
                <w:sz w:val="20"/>
              </w:rPr>
              <w:t xml:space="preserve"> </w:t>
            </w:r>
          </w:p>
        </w:tc>
        <w:tc>
          <w:tcPr>
            <w:tcW w:w="2126" w:type="dxa"/>
          </w:tcPr>
          <w:p w:rsidR="009A5280" w:rsidRPr="00742DAA" w:rsidRDefault="000F6E6E" w:rsidP="00582BB8">
            <w:pPr>
              <w:pStyle w:val="NoSpacing"/>
              <w:rPr>
                <w:rFonts w:ascii="Calibri" w:hAnsi="Calibri" w:cs="Calibri"/>
                <w:sz w:val="20"/>
              </w:rPr>
            </w:pPr>
            <w:r w:rsidRPr="00742DAA">
              <w:rPr>
                <w:rFonts w:ascii="Calibri" w:hAnsi="Calibri" w:cs="Calibri"/>
                <w:sz w:val="20"/>
              </w:rPr>
              <w:t>For significant changes to these areas, the processes may include:</w:t>
            </w:r>
          </w:p>
          <w:p w:rsidR="000F6E6E" w:rsidRPr="00742DAA" w:rsidRDefault="000F6E6E" w:rsidP="003D4B0B">
            <w:pPr>
              <w:pStyle w:val="NoSpacing"/>
              <w:numPr>
                <w:ilvl w:val="0"/>
                <w:numId w:val="5"/>
              </w:numPr>
              <w:ind w:left="344"/>
              <w:rPr>
                <w:rFonts w:ascii="Calibri" w:hAnsi="Calibri" w:cs="Calibri"/>
                <w:sz w:val="20"/>
              </w:rPr>
            </w:pPr>
            <w:r w:rsidRPr="00742DAA">
              <w:rPr>
                <w:rFonts w:ascii="Calibri" w:hAnsi="Calibri" w:cs="Calibri"/>
                <w:sz w:val="20"/>
              </w:rPr>
              <w:t>Public consultation</w:t>
            </w:r>
          </w:p>
          <w:p w:rsidR="000F6E6E" w:rsidRPr="00742DAA" w:rsidRDefault="000F6E6E" w:rsidP="00F46ACB">
            <w:pPr>
              <w:pStyle w:val="NoSpacing"/>
              <w:numPr>
                <w:ilvl w:val="0"/>
                <w:numId w:val="5"/>
              </w:numPr>
              <w:ind w:left="344"/>
              <w:rPr>
                <w:rFonts w:ascii="Calibri" w:hAnsi="Calibri" w:cs="Calibri"/>
                <w:sz w:val="20"/>
              </w:rPr>
            </w:pPr>
            <w:r w:rsidRPr="00742DAA">
              <w:rPr>
                <w:rFonts w:ascii="Calibri" w:hAnsi="Calibri" w:cs="Calibri"/>
                <w:sz w:val="20"/>
              </w:rPr>
              <w:t>Face-to-face meetings</w:t>
            </w:r>
          </w:p>
          <w:p w:rsidR="000F6E6E" w:rsidRPr="00742DAA" w:rsidRDefault="000F6E6E" w:rsidP="00F46ACB">
            <w:pPr>
              <w:pStyle w:val="NoSpacing"/>
              <w:numPr>
                <w:ilvl w:val="0"/>
                <w:numId w:val="5"/>
              </w:numPr>
              <w:ind w:left="344"/>
              <w:rPr>
                <w:rFonts w:ascii="Calibri" w:hAnsi="Calibri" w:cs="Calibri"/>
                <w:sz w:val="20"/>
              </w:rPr>
            </w:pPr>
            <w:r w:rsidRPr="00742DAA">
              <w:rPr>
                <w:rFonts w:ascii="Calibri" w:hAnsi="Calibri" w:cs="Calibri"/>
                <w:sz w:val="20"/>
              </w:rPr>
              <w:t xml:space="preserve">Direct </w:t>
            </w:r>
            <w:r w:rsidR="003D4B0B" w:rsidRPr="00742DAA">
              <w:rPr>
                <w:rFonts w:ascii="Calibri" w:hAnsi="Calibri" w:cs="Calibri"/>
                <w:sz w:val="20"/>
              </w:rPr>
              <w:t>communications</w:t>
            </w:r>
            <w:r w:rsidRPr="00742DAA">
              <w:rPr>
                <w:rFonts w:ascii="Calibri" w:hAnsi="Calibri" w:cs="Calibri"/>
                <w:sz w:val="20"/>
              </w:rPr>
              <w:t xml:space="preserve"> to relevant organisations.</w:t>
            </w:r>
          </w:p>
          <w:p w:rsidR="000F6E6E" w:rsidRPr="00742DAA" w:rsidRDefault="000F6E6E" w:rsidP="00582BB8">
            <w:pPr>
              <w:pStyle w:val="NoSpacing"/>
              <w:rPr>
                <w:rFonts w:ascii="Calibri" w:hAnsi="Calibri" w:cs="Calibri"/>
                <w:sz w:val="20"/>
              </w:rPr>
            </w:pPr>
            <w:r w:rsidRPr="00742DAA">
              <w:rPr>
                <w:rFonts w:ascii="Calibri" w:hAnsi="Calibri" w:cs="Calibri"/>
                <w:sz w:val="20"/>
              </w:rPr>
              <w:t>For minor changes to these areas, the proces</w:t>
            </w:r>
            <w:r w:rsidR="003D4B0B" w:rsidRPr="00742DAA">
              <w:rPr>
                <w:rFonts w:ascii="Calibri" w:hAnsi="Calibri" w:cs="Calibri"/>
                <w:sz w:val="20"/>
              </w:rPr>
              <w:t>s</w:t>
            </w:r>
            <w:r w:rsidRPr="00742DAA">
              <w:rPr>
                <w:rFonts w:ascii="Calibri" w:hAnsi="Calibri" w:cs="Calibri"/>
                <w:sz w:val="20"/>
              </w:rPr>
              <w:t>es may include:</w:t>
            </w:r>
          </w:p>
          <w:p w:rsidR="000F6E6E" w:rsidRPr="00742DAA" w:rsidRDefault="000F6E6E" w:rsidP="003D4B0B">
            <w:pPr>
              <w:pStyle w:val="NoSpacing"/>
              <w:numPr>
                <w:ilvl w:val="0"/>
                <w:numId w:val="5"/>
              </w:numPr>
              <w:ind w:left="344"/>
              <w:rPr>
                <w:rFonts w:ascii="Calibri" w:hAnsi="Calibri" w:cs="Calibri"/>
                <w:sz w:val="20"/>
              </w:rPr>
            </w:pPr>
            <w:r w:rsidRPr="00742DAA">
              <w:rPr>
                <w:rFonts w:ascii="Calibri" w:hAnsi="Calibri" w:cs="Calibri"/>
                <w:sz w:val="20"/>
              </w:rPr>
              <w:t>Email notifications</w:t>
            </w:r>
          </w:p>
          <w:p w:rsidR="000F6E6E" w:rsidRPr="00742DAA" w:rsidRDefault="000F6E6E" w:rsidP="003D4B0B">
            <w:pPr>
              <w:pStyle w:val="NoSpacing"/>
              <w:numPr>
                <w:ilvl w:val="0"/>
                <w:numId w:val="5"/>
              </w:numPr>
              <w:ind w:left="344"/>
              <w:rPr>
                <w:rFonts w:ascii="Calibri" w:hAnsi="Calibri" w:cs="Calibri"/>
                <w:sz w:val="20"/>
              </w:rPr>
            </w:pPr>
            <w:r w:rsidRPr="00742DAA">
              <w:rPr>
                <w:rFonts w:ascii="Calibri" w:hAnsi="Calibri" w:cs="Calibri"/>
                <w:sz w:val="20"/>
              </w:rPr>
              <w:t xml:space="preserve">Updates in the </w:t>
            </w:r>
            <w:r w:rsidR="00502699" w:rsidRPr="00742DAA">
              <w:rPr>
                <w:rFonts w:ascii="Calibri" w:hAnsi="Calibri" w:cs="Calibri"/>
                <w:sz w:val="20"/>
              </w:rPr>
              <w:t>NZRIS GitHub site,</w:t>
            </w:r>
            <w:r w:rsidRPr="00742DAA">
              <w:rPr>
                <w:rFonts w:ascii="Calibri" w:hAnsi="Calibri" w:cs="Calibri"/>
                <w:sz w:val="20"/>
              </w:rPr>
              <w:t xml:space="preserve"> the MBIE website</w:t>
            </w:r>
            <w:r w:rsidR="003D4B0B" w:rsidRPr="00742DAA">
              <w:rPr>
                <w:rFonts w:ascii="Calibri" w:hAnsi="Calibri" w:cs="Calibri"/>
                <w:sz w:val="20"/>
              </w:rPr>
              <w:t>, a</w:t>
            </w:r>
            <w:r w:rsidR="00502699" w:rsidRPr="00742DAA">
              <w:rPr>
                <w:rFonts w:ascii="Calibri" w:hAnsi="Calibri" w:cs="Calibri"/>
                <w:sz w:val="20"/>
              </w:rPr>
              <w:t xml:space="preserve">nd newsletters. </w:t>
            </w:r>
          </w:p>
        </w:tc>
      </w:tr>
      <w:tr w:rsidR="009A5280" w:rsidRPr="00F46ACB" w:rsidTr="00582BB8">
        <w:tc>
          <w:tcPr>
            <w:tcW w:w="3227" w:type="dxa"/>
          </w:tcPr>
          <w:p w:rsidR="009A5280" w:rsidRPr="00582BB8" w:rsidRDefault="00BD5EE6" w:rsidP="00582BB8">
            <w:pPr>
              <w:pStyle w:val="NoSpacing"/>
              <w:spacing w:after="240"/>
              <w:rPr>
                <w:rFonts w:ascii="Calibri" w:hAnsi="Calibri" w:cs="Calibri"/>
                <w:sz w:val="20"/>
              </w:rPr>
            </w:pPr>
            <w:r w:rsidRPr="00742DAA">
              <w:rPr>
                <w:rFonts w:ascii="Calibri" w:hAnsi="Calibri" w:cs="Calibri"/>
                <w:sz w:val="20"/>
              </w:rPr>
              <w:t>Changes to the p</w:t>
            </w:r>
            <w:r w:rsidR="009A5280" w:rsidRPr="00742DAA">
              <w:rPr>
                <w:rFonts w:ascii="Calibri" w:hAnsi="Calibri" w:cs="Calibri"/>
                <w:sz w:val="20"/>
              </w:rPr>
              <w:t>rocess for creation of Authorised Users and reporting against these</w:t>
            </w:r>
          </w:p>
          <w:p w:rsidR="009A5280" w:rsidRPr="00582BB8" w:rsidRDefault="00BD5EE6" w:rsidP="00582BB8">
            <w:pPr>
              <w:pStyle w:val="NoSpacing"/>
              <w:spacing w:after="240"/>
              <w:rPr>
                <w:rFonts w:ascii="Calibri" w:hAnsi="Calibri" w:cs="Calibri"/>
                <w:sz w:val="20"/>
              </w:rPr>
            </w:pPr>
            <w:r w:rsidRPr="00582BB8">
              <w:rPr>
                <w:rFonts w:ascii="Calibri" w:hAnsi="Calibri" w:cs="Calibri"/>
                <w:sz w:val="20"/>
              </w:rPr>
              <w:t xml:space="preserve">Changes to the </w:t>
            </w:r>
            <w:r w:rsidR="009A5280" w:rsidRPr="00582BB8">
              <w:rPr>
                <w:rFonts w:ascii="Calibri" w:hAnsi="Calibri" w:cs="Calibri"/>
                <w:sz w:val="20"/>
              </w:rPr>
              <w:t xml:space="preserve">Access </w:t>
            </w:r>
            <w:r w:rsidRPr="00582BB8">
              <w:rPr>
                <w:rFonts w:ascii="Calibri" w:hAnsi="Calibri" w:cs="Calibri"/>
                <w:sz w:val="20"/>
              </w:rPr>
              <w:t>P</w:t>
            </w:r>
            <w:r w:rsidR="009A5280" w:rsidRPr="00582BB8">
              <w:rPr>
                <w:rFonts w:ascii="Calibri" w:hAnsi="Calibri" w:cs="Calibri"/>
                <w:sz w:val="20"/>
              </w:rPr>
              <w:t>rotocols and reporting against these</w:t>
            </w:r>
          </w:p>
          <w:p w:rsidR="009A5280" w:rsidRPr="00582BB8" w:rsidRDefault="009A5280" w:rsidP="00582BB8">
            <w:pPr>
              <w:pStyle w:val="NoSpacing"/>
              <w:spacing w:after="240"/>
              <w:rPr>
                <w:rFonts w:ascii="Calibri" w:hAnsi="Calibri" w:cs="Calibri"/>
                <w:sz w:val="20"/>
              </w:rPr>
            </w:pPr>
            <w:r w:rsidRPr="00582BB8">
              <w:rPr>
                <w:rFonts w:ascii="Calibri" w:hAnsi="Calibri" w:cs="Calibri"/>
                <w:sz w:val="20"/>
              </w:rPr>
              <w:t>NSOG tasks with funding implications (requiring funding)</w:t>
            </w:r>
          </w:p>
        </w:tc>
        <w:tc>
          <w:tcPr>
            <w:tcW w:w="3969" w:type="dxa"/>
          </w:tcPr>
          <w:p w:rsidR="009A5280" w:rsidRPr="00582BB8" w:rsidRDefault="009A5280" w:rsidP="00582BB8">
            <w:pPr>
              <w:pStyle w:val="NoSpacing"/>
              <w:numPr>
                <w:ilvl w:val="0"/>
                <w:numId w:val="5"/>
              </w:numPr>
              <w:ind w:left="344" w:hanging="213"/>
              <w:rPr>
                <w:rFonts w:cs="Calibri"/>
                <w:sz w:val="20"/>
              </w:rPr>
            </w:pPr>
            <w:r w:rsidRPr="00582BB8">
              <w:rPr>
                <w:rFonts w:ascii="Calibri" w:hAnsi="Calibri" w:cs="Calibri"/>
                <w:sz w:val="20"/>
              </w:rPr>
              <w:t xml:space="preserve">MBIE </w:t>
            </w:r>
          </w:p>
          <w:p w:rsidR="009A5280" w:rsidRPr="00582BB8" w:rsidRDefault="009A5280" w:rsidP="00582BB8">
            <w:pPr>
              <w:pStyle w:val="NoSpacing"/>
              <w:ind w:left="342"/>
              <w:rPr>
                <w:rFonts w:ascii="Calibri" w:hAnsi="Calibri" w:cs="Calibri"/>
                <w:sz w:val="20"/>
              </w:rPr>
            </w:pPr>
          </w:p>
        </w:tc>
        <w:tc>
          <w:tcPr>
            <w:tcW w:w="2126" w:type="dxa"/>
          </w:tcPr>
          <w:p w:rsidR="009A5280" w:rsidRPr="00582BB8" w:rsidRDefault="00B933EE" w:rsidP="00885BA8">
            <w:pPr>
              <w:pStyle w:val="NoSpacing"/>
              <w:numPr>
                <w:ilvl w:val="0"/>
                <w:numId w:val="5"/>
              </w:numPr>
              <w:ind w:left="344"/>
              <w:rPr>
                <w:rFonts w:ascii="Calibri" w:hAnsi="Calibri" w:cs="Calibri"/>
                <w:sz w:val="20"/>
              </w:rPr>
            </w:pPr>
            <w:r w:rsidRPr="00582BB8">
              <w:rPr>
                <w:rFonts w:ascii="Calibri" w:hAnsi="Calibri" w:cs="Calibri"/>
                <w:sz w:val="20"/>
              </w:rPr>
              <w:t>Reports between NSOG and MBIE</w:t>
            </w:r>
          </w:p>
        </w:tc>
      </w:tr>
      <w:tr w:rsidR="009A5280" w:rsidRPr="00582BB8" w:rsidTr="00582BB8">
        <w:tc>
          <w:tcPr>
            <w:tcW w:w="3227" w:type="dxa"/>
          </w:tcPr>
          <w:p w:rsidR="009A5280" w:rsidRPr="00742DAA" w:rsidRDefault="009A5280" w:rsidP="00582BB8">
            <w:pPr>
              <w:pStyle w:val="NoSpacing"/>
              <w:spacing w:after="240"/>
              <w:rPr>
                <w:rFonts w:ascii="Calibri" w:hAnsi="Calibri" w:cs="Calibri"/>
                <w:sz w:val="20"/>
              </w:rPr>
            </w:pPr>
            <w:r w:rsidRPr="00742DAA">
              <w:rPr>
                <w:rFonts w:ascii="Calibri" w:hAnsi="Calibri" w:cs="Calibri"/>
                <w:sz w:val="20"/>
              </w:rPr>
              <w:t xml:space="preserve">Enable the purpose of </w:t>
            </w:r>
            <w:r w:rsidR="00611C25" w:rsidRPr="00742DAA">
              <w:rPr>
                <w:rFonts w:ascii="Calibri" w:hAnsi="Calibri" w:cs="Calibri"/>
                <w:sz w:val="20"/>
              </w:rPr>
              <w:t>organisations</w:t>
            </w:r>
            <w:r w:rsidRPr="00742DAA">
              <w:rPr>
                <w:rFonts w:ascii="Calibri" w:hAnsi="Calibri" w:cs="Calibri"/>
                <w:sz w:val="20"/>
              </w:rPr>
              <w:t xml:space="preserve"> </w:t>
            </w:r>
            <w:r w:rsidR="00611C25" w:rsidRPr="00742DAA">
              <w:rPr>
                <w:rFonts w:ascii="Calibri" w:hAnsi="Calibri" w:cs="Calibri"/>
                <w:sz w:val="20"/>
              </w:rPr>
              <w:t xml:space="preserve">with a focus on Māori data sovereignty </w:t>
            </w:r>
            <w:r w:rsidRPr="00742DAA">
              <w:rPr>
                <w:rFonts w:ascii="Calibri" w:hAnsi="Calibri" w:cs="Calibri"/>
                <w:sz w:val="20"/>
              </w:rPr>
              <w:t>with regard to Māori research data being contributed to, and accessed from, NZRIS</w:t>
            </w:r>
          </w:p>
          <w:p w:rsidR="009A5280" w:rsidRPr="00742DAA" w:rsidRDefault="009A5280" w:rsidP="00582BB8">
            <w:pPr>
              <w:pStyle w:val="NoSpacing"/>
              <w:spacing w:after="240"/>
              <w:rPr>
                <w:rFonts w:ascii="Calibri" w:hAnsi="Calibri" w:cs="Calibri"/>
                <w:sz w:val="20"/>
              </w:rPr>
            </w:pPr>
            <w:r w:rsidRPr="00742DAA">
              <w:rPr>
                <w:rFonts w:ascii="Calibri" w:hAnsi="Calibri" w:cs="Calibri"/>
                <w:sz w:val="20"/>
              </w:rPr>
              <w:t xml:space="preserve">Establishment of protocols for on-going engagement </w:t>
            </w:r>
            <w:r w:rsidR="00C75987">
              <w:rPr>
                <w:rFonts w:ascii="Calibri" w:hAnsi="Calibri" w:cs="Calibri"/>
                <w:sz w:val="20"/>
              </w:rPr>
              <w:t>with Māori</w:t>
            </w:r>
          </w:p>
          <w:p w:rsidR="009A5280" w:rsidRPr="00582BB8" w:rsidRDefault="009A5280" w:rsidP="00582BB8">
            <w:pPr>
              <w:pStyle w:val="NoSpacing"/>
              <w:spacing w:after="240"/>
              <w:rPr>
                <w:rFonts w:ascii="Calibri" w:hAnsi="Calibri" w:cs="Calibri"/>
                <w:sz w:val="20"/>
              </w:rPr>
            </w:pPr>
            <w:r w:rsidRPr="00742DAA">
              <w:rPr>
                <w:rFonts w:ascii="Calibri" w:hAnsi="Calibri" w:cs="Calibri"/>
                <w:sz w:val="20"/>
              </w:rPr>
              <w:t xml:space="preserve">Enabling NZRIS data specifications to take into account advice from </w:t>
            </w:r>
            <w:r w:rsidR="00611C25" w:rsidRPr="00742DAA">
              <w:rPr>
                <w:rFonts w:ascii="Calibri" w:hAnsi="Calibri" w:cs="Calibri"/>
                <w:sz w:val="20"/>
              </w:rPr>
              <w:t xml:space="preserve">key </w:t>
            </w:r>
            <w:r w:rsidR="00C75987">
              <w:rPr>
                <w:rFonts w:ascii="Calibri" w:hAnsi="Calibri" w:cs="Calibri"/>
                <w:sz w:val="20"/>
              </w:rPr>
              <w:t xml:space="preserve">Māori </w:t>
            </w:r>
            <w:r w:rsidR="00611C25" w:rsidRPr="00742DAA">
              <w:rPr>
                <w:rFonts w:ascii="Calibri" w:hAnsi="Calibri" w:cs="Calibri"/>
                <w:sz w:val="20"/>
              </w:rPr>
              <w:t>stakeholders</w:t>
            </w:r>
          </w:p>
        </w:tc>
        <w:tc>
          <w:tcPr>
            <w:tcW w:w="3969" w:type="dxa"/>
          </w:tcPr>
          <w:p w:rsidR="009A5280" w:rsidRPr="00582BB8" w:rsidRDefault="00F52D53" w:rsidP="00582BB8">
            <w:pPr>
              <w:pStyle w:val="NoSpacing"/>
              <w:numPr>
                <w:ilvl w:val="0"/>
                <w:numId w:val="5"/>
              </w:numPr>
              <w:ind w:left="344" w:hanging="213"/>
              <w:rPr>
                <w:rFonts w:ascii="Calibri" w:hAnsi="Calibri" w:cs="Calibri"/>
                <w:sz w:val="20"/>
              </w:rPr>
            </w:pPr>
            <w:proofErr w:type="spellStart"/>
            <w:r w:rsidRPr="00582BB8">
              <w:rPr>
                <w:rFonts w:ascii="Calibri" w:hAnsi="Calibri" w:cs="Calibri"/>
                <w:sz w:val="20"/>
              </w:rPr>
              <w:t>Te</w:t>
            </w:r>
            <w:proofErr w:type="spellEnd"/>
            <w:r w:rsidRPr="00582BB8">
              <w:rPr>
                <w:rFonts w:ascii="Calibri" w:hAnsi="Calibri" w:cs="Calibri"/>
                <w:sz w:val="20"/>
              </w:rPr>
              <w:t xml:space="preserve"> Mana </w:t>
            </w:r>
            <w:proofErr w:type="spellStart"/>
            <w:r w:rsidRPr="00582BB8">
              <w:rPr>
                <w:rFonts w:ascii="Calibri" w:hAnsi="Calibri" w:cs="Calibri"/>
                <w:sz w:val="20"/>
              </w:rPr>
              <w:t>Raraunga</w:t>
            </w:r>
            <w:proofErr w:type="spellEnd"/>
          </w:p>
          <w:p w:rsidR="009A5280" w:rsidRPr="00582BB8" w:rsidRDefault="009A5280" w:rsidP="00582BB8">
            <w:pPr>
              <w:pStyle w:val="NoSpacing"/>
              <w:numPr>
                <w:ilvl w:val="0"/>
                <w:numId w:val="5"/>
              </w:numPr>
              <w:ind w:left="344" w:hanging="213"/>
              <w:rPr>
                <w:rFonts w:ascii="Calibri" w:hAnsi="Calibri" w:cs="Calibri"/>
                <w:sz w:val="20"/>
              </w:rPr>
            </w:pPr>
            <w:r w:rsidRPr="00582BB8">
              <w:rPr>
                <w:rFonts w:ascii="Calibri" w:hAnsi="Calibri" w:cs="Calibri"/>
                <w:sz w:val="20"/>
              </w:rPr>
              <w:t>Iwi Chairs Forum – Data Group</w:t>
            </w:r>
          </w:p>
          <w:p w:rsidR="009A5280" w:rsidRPr="00582BB8" w:rsidRDefault="009A5280" w:rsidP="00582BB8">
            <w:pPr>
              <w:pStyle w:val="NoSpacing"/>
              <w:ind w:left="720"/>
              <w:rPr>
                <w:rFonts w:ascii="Calibri" w:hAnsi="Calibri" w:cs="Calibri"/>
                <w:sz w:val="20"/>
              </w:rPr>
            </w:pPr>
          </w:p>
        </w:tc>
        <w:tc>
          <w:tcPr>
            <w:tcW w:w="2126" w:type="dxa"/>
          </w:tcPr>
          <w:p w:rsidR="00B933EE" w:rsidRPr="00582BB8" w:rsidRDefault="00B933EE" w:rsidP="00582BB8">
            <w:pPr>
              <w:pStyle w:val="NoSpacing"/>
              <w:numPr>
                <w:ilvl w:val="0"/>
                <w:numId w:val="5"/>
              </w:numPr>
              <w:ind w:left="344"/>
              <w:rPr>
                <w:rFonts w:ascii="Calibri" w:hAnsi="Calibri" w:cs="Calibri"/>
                <w:sz w:val="20"/>
              </w:rPr>
            </w:pPr>
            <w:r w:rsidRPr="00582BB8">
              <w:rPr>
                <w:rFonts w:ascii="Calibri" w:hAnsi="Calibri" w:cs="Calibri"/>
                <w:sz w:val="20"/>
              </w:rPr>
              <w:t>Face-to-face meetings</w:t>
            </w:r>
          </w:p>
          <w:p w:rsidR="00B933EE" w:rsidRPr="00582BB8" w:rsidRDefault="00B933EE" w:rsidP="00582BB8">
            <w:pPr>
              <w:pStyle w:val="NoSpacing"/>
              <w:numPr>
                <w:ilvl w:val="0"/>
                <w:numId w:val="5"/>
              </w:numPr>
              <w:ind w:left="344"/>
              <w:rPr>
                <w:rFonts w:ascii="Calibri" w:hAnsi="Calibri" w:cs="Calibri"/>
                <w:sz w:val="20"/>
              </w:rPr>
            </w:pPr>
            <w:r w:rsidRPr="00582BB8">
              <w:rPr>
                <w:rFonts w:ascii="Calibri" w:hAnsi="Calibri" w:cs="Calibri"/>
                <w:sz w:val="20"/>
              </w:rPr>
              <w:t xml:space="preserve">Direct </w:t>
            </w:r>
            <w:r w:rsidR="003D4B0B" w:rsidRPr="00582BB8">
              <w:rPr>
                <w:rFonts w:ascii="Calibri" w:hAnsi="Calibri" w:cs="Calibri"/>
                <w:sz w:val="20"/>
              </w:rPr>
              <w:t>communications</w:t>
            </w:r>
            <w:r w:rsidRPr="00582BB8">
              <w:rPr>
                <w:rFonts w:ascii="Calibri" w:hAnsi="Calibri" w:cs="Calibri"/>
                <w:sz w:val="20"/>
              </w:rPr>
              <w:t xml:space="preserve"> to relevant organisations.</w:t>
            </w:r>
          </w:p>
          <w:p w:rsidR="009A5280" w:rsidRPr="00582BB8" w:rsidRDefault="009A5280" w:rsidP="00582BB8">
            <w:pPr>
              <w:pStyle w:val="NoSpacing"/>
              <w:ind w:left="720"/>
              <w:rPr>
                <w:rFonts w:ascii="Calibri" w:hAnsi="Calibri" w:cs="Calibri"/>
                <w:sz w:val="20"/>
              </w:rPr>
            </w:pPr>
          </w:p>
        </w:tc>
      </w:tr>
    </w:tbl>
    <w:p w:rsidR="00D1614C" w:rsidRDefault="00D1614C"/>
    <w:sectPr w:rsidR="00D1614C" w:rsidSect="00651FE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90C" w:rsidRDefault="00E5390C" w:rsidP="00D753FE">
      <w:pPr>
        <w:spacing w:before="0" w:after="0" w:line="240" w:lineRule="auto"/>
      </w:pPr>
      <w:r>
        <w:separator/>
      </w:r>
    </w:p>
  </w:endnote>
  <w:endnote w:type="continuationSeparator" w:id="0">
    <w:p w:rsidR="00E5390C" w:rsidRDefault="00E5390C" w:rsidP="00D753FE">
      <w:pPr>
        <w:spacing w:before="0" w:after="0" w:line="240" w:lineRule="auto"/>
      </w:pPr>
      <w:r>
        <w:continuationSeparator/>
      </w:r>
    </w:p>
  </w:endnote>
  <w:endnote w:type="continuationNotice" w:id="1">
    <w:p w:rsidR="00E5390C" w:rsidRDefault="00E539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AB" w:rsidRDefault="00A54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AB" w:rsidRDefault="00A54BAB" w:rsidP="00651FEA">
    <w:pPr>
      <w:pStyle w:val="Footer"/>
      <w:jc w:val="center"/>
    </w:pPr>
    <w:r>
      <w:fldChar w:fldCharType="begin"/>
    </w:r>
    <w:r>
      <w:instrText xml:space="preserve"> PAGE   \* MERGEFORMAT </w:instrText>
    </w:r>
    <w:r>
      <w:fldChar w:fldCharType="separate"/>
    </w:r>
    <w:r w:rsidR="00A236C0">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AB" w:rsidRDefault="00A54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90C" w:rsidRDefault="00E5390C" w:rsidP="00D753FE">
      <w:pPr>
        <w:spacing w:before="0" w:after="0" w:line="240" w:lineRule="auto"/>
      </w:pPr>
      <w:r>
        <w:separator/>
      </w:r>
    </w:p>
  </w:footnote>
  <w:footnote w:type="continuationSeparator" w:id="0">
    <w:p w:rsidR="00E5390C" w:rsidRDefault="00E5390C" w:rsidP="00D753FE">
      <w:pPr>
        <w:spacing w:before="0" w:after="0" w:line="240" w:lineRule="auto"/>
      </w:pPr>
      <w:r>
        <w:continuationSeparator/>
      </w:r>
    </w:p>
  </w:footnote>
  <w:footnote w:type="continuationNotice" w:id="1">
    <w:p w:rsidR="00E5390C" w:rsidRDefault="00E5390C">
      <w:pPr>
        <w:spacing w:before="0" w:after="0" w:line="240" w:lineRule="auto"/>
      </w:pPr>
    </w:p>
  </w:footnote>
  <w:footnote w:id="2">
    <w:p w:rsidR="00A54BAB" w:rsidRDefault="00A54BAB" w:rsidP="00742DAA">
      <w:pPr>
        <w:pStyle w:val="FootnoteText"/>
        <w:spacing w:before="0" w:after="0"/>
      </w:pPr>
      <w:r>
        <w:rPr>
          <w:rStyle w:val="FootnoteReference"/>
        </w:rPr>
        <w:footnoteRef/>
      </w:r>
      <w:r>
        <w:t xml:space="preserve"> NZRIS is formerly known as NRIS.</w:t>
      </w:r>
    </w:p>
  </w:footnote>
  <w:footnote w:id="3">
    <w:p w:rsidR="00A54BAB" w:rsidRPr="00C911AC" w:rsidRDefault="00A54BAB" w:rsidP="00D84015">
      <w:pPr>
        <w:pStyle w:val="FootnoteText"/>
        <w:spacing w:before="0" w:after="0"/>
        <w:rPr>
          <w:lang w:val="mi-NZ"/>
        </w:rPr>
      </w:pPr>
      <w:r>
        <w:rPr>
          <w:rStyle w:val="FootnoteReference"/>
        </w:rPr>
        <w:footnoteRef/>
      </w:r>
      <w:r>
        <w:t xml:space="preserve"> Development covers technology development (e.g. </w:t>
      </w:r>
      <w:r w:rsidRPr="00B91275">
        <w:t>building IT systems</w:t>
      </w:r>
      <w:r>
        <w:t xml:space="preserve"> and </w:t>
      </w:r>
      <w:r w:rsidRPr="00B91275">
        <w:t>data transfer systems</w:t>
      </w:r>
      <w:r>
        <w:t>)</w:t>
      </w:r>
      <w:r w:rsidRPr="00B91275">
        <w:t xml:space="preserve">, and </w:t>
      </w:r>
      <w:r>
        <w:t xml:space="preserve">also includes </w:t>
      </w:r>
      <w:r w:rsidRPr="00B91275">
        <w:t xml:space="preserve">associated agreements and </w:t>
      </w:r>
      <w:r>
        <w:t xml:space="preserve">growing </w:t>
      </w:r>
      <w:r w:rsidRPr="00B91275">
        <w:t>broader social and cultural licence</w:t>
      </w:r>
      <w:r>
        <w:t xml:space="preserve"> for data sharing in the RS&amp;I sector.</w:t>
      </w:r>
    </w:p>
  </w:footnote>
  <w:footnote w:id="4">
    <w:p w:rsidR="00A54BAB" w:rsidRPr="00B605DF" w:rsidRDefault="00A54BAB" w:rsidP="006F575F">
      <w:pPr>
        <w:pStyle w:val="FootnoteText"/>
        <w:spacing w:before="0" w:after="0"/>
        <w:rPr>
          <w:lang w:val="mi-NZ"/>
        </w:rPr>
      </w:pPr>
      <w:r>
        <w:rPr>
          <w:rStyle w:val="FootnoteReference"/>
        </w:rPr>
        <w:footnoteRef/>
      </w:r>
      <w:r>
        <w:t xml:space="preserve"> </w:t>
      </w:r>
      <w:r w:rsidRPr="00CE229F">
        <w:t>https://www.digital.govt.nz/standards-and-guidance/data-2/data-management/</w:t>
      </w:r>
    </w:p>
  </w:footnote>
  <w:footnote w:id="5">
    <w:p w:rsidR="00A54BAB" w:rsidRPr="00C911AC" w:rsidRDefault="00A54BAB" w:rsidP="00D93722">
      <w:pPr>
        <w:pStyle w:val="FootnoteText"/>
        <w:spacing w:before="0" w:after="0"/>
        <w:rPr>
          <w:lang w:val="mi-NZ"/>
        </w:rPr>
      </w:pPr>
      <w:r>
        <w:rPr>
          <w:rStyle w:val="FootnoteReference"/>
        </w:rPr>
        <w:footnoteRef/>
      </w:r>
      <w:r>
        <w:t xml:space="preserve"> </w:t>
      </w:r>
      <w:r w:rsidRPr="00CE229F">
        <w:t>https://www.mbie.govt.nz/assets/8db986841c/nz-research-information-system-overview.pdf</w:t>
      </w:r>
    </w:p>
  </w:footnote>
  <w:footnote w:id="6">
    <w:p w:rsidR="00A54BAB" w:rsidRPr="00A6325F" w:rsidRDefault="00A54BAB" w:rsidP="00D753FE">
      <w:pPr>
        <w:pStyle w:val="FootnoteText"/>
      </w:pPr>
      <w:r w:rsidRPr="0085423D">
        <w:rPr>
          <w:rStyle w:val="FootnoteReference"/>
        </w:rPr>
        <w:footnoteRef/>
      </w:r>
      <w:r w:rsidRPr="0085423D">
        <w:t xml:space="preserve"> </w:t>
      </w:r>
      <w:r w:rsidRPr="00A6325F">
        <w:t>For example, the information and management principles and open data charter identified earlier and the guidance provided from time to time by the Government Chief Data Steward.</w:t>
      </w:r>
    </w:p>
  </w:footnote>
  <w:footnote w:id="7">
    <w:p w:rsidR="00A54BAB" w:rsidRPr="00A6325F" w:rsidRDefault="00A54BAB" w:rsidP="00AE19F8">
      <w:pPr>
        <w:pStyle w:val="FootnoteText"/>
      </w:pPr>
      <w:r w:rsidRPr="00AE19F8">
        <w:rPr>
          <w:rStyle w:val="FootnoteReference"/>
        </w:rPr>
        <w:footnoteRef/>
      </w:r>
      <w:r w:rsidRPr="00AE19F8">
        <w:t xml:space="preserve"> The exact nature and frequency of NSOG reporting will be determined as part of NSOG establishment.</w:t>
      </w:r>
    </w:p>
  </w:footnote>
  <w:footnote w:id="8">
    <w:p w:rsidR="00A54BAB" w:rsidRPr="00F46ACB" w:rsidRDefault="00A54BAB" w:rsidP="00F46ACB">
      <w:pPr>
        <w:pStyle w:val="FootnoteText"/>
      </w:pPr>
      <w:r>
        <w:rPr>
          <w:rStyle w:val="FootnoteReference"/>
        </w:rPr>
        <w:footnoteRef/>
      </w:r>
      <w:r>
        <w:t xml:space="preserve"> </w:t>
      </w:r>
      <w:r w:rsidRPr="00F46ACB">
        <w:t xml:space="preserve">Organisations contributing to NZRIS will be responsible for nominating contacts for NSOG. </w:t>
      </w:r>
    </w:p>
    <w:p w:rsidR="00A54BAB" w:rsidRDefault="00A54BA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AB" w:rsidRDefault="00A54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AB" w:rsidRDefault="00A54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AB" w:rsidRDefault="00A54BAB" w:rsidP="00582BB8">
    <w:pPr>
      <w:pStyle w:val="Header"/>
      <w:jc w:val="right"/>
    </w:pPr>
    <w:r>
      <w:rPr>
        <w:noProof/>
        <w:lang w:eastAsia="en-NZ"/>
      </w:rPr>
      <w:drawing>
        <wp:inline distT="0" distB="0" distL="0" distR="0" wp14:anchorId="61F9FC17" wp14:editId="4E48E442">
          <wp:extent cx="2929528" cy="946150"/>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928230" cy="945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156"/>
    <w:multiLevelType w:val="hybridMultilevel"/>
    <w:tmpl w:val="ECAC24A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5C92B37"/>
    <w:multiLevelType w:val="multilevel"/>
    <w:tmpl w:val="47C26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9512E"/>
    <w:multiLevelType w:val="hybridMultilevel"/>
    <w:tmpl w:val="0CD6D0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8769BA"/>
    <w:multiLevelType w:val="hybridMultilevel"/>
    <w:tmpl w:val="88EE9F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C3505B"/>
    <w:multiLevelType w:val="multilevel"/>
    <w:tmpl w:val="D60AB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AD4AE2"/>
    <w:multiLevelType w:val="hybridMultilevel"/>
    <w:tmpl w:val="F23803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B73663"/>
    <w:multiLevelType w:val="hybridMultilevel"/>
    <w:tmpl w:val="05C6E7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8E306A"/>
    <w:multiLevelType w:val="hybridMultilevel"/>
    <w:tmpl w:val="09100D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76D5178"/>
    <w:multiLevelType w:val="hybridMultilevel"/>
    <w:tmpl w:val="740670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2B95C29"/>
    <w:multiLevelType w:val="hybridMultilevel"/>
    <w:tmpl w:val="948AE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98A3EF1"/>
    <w:multiLevelType w:val="hybridMultilevel"/>
    <w:tmpl w:val="ECAC24A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EA05CC2"/>
    <w:multiLevelType w:val="hybridMultilevel"/>
    <w:tmpl w:val="9D684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057290D"/>
    <w:multiLevelType w:val="hybridMultilevel"/>
    <w:tmpl w:val="111EE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36110AC"/>
    <w:multiLevelType w:val="hybridMultilevel"/>
    <w:tmpl w:val="DC4627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12"/>
  </w:num>
  <w:num w:numId="5">
    <w:abstractNumId w:val="6"/>
  </w:num>
  <w:num w:numId="6">
    <w:abstractNumId w:val="5"/>
  </w:num>
  <w:num w:numId="7">
    <w:abstractNumId w:val="3"/>
  </w:num>
  <w:num w:numId="8">
    <w:abstractNumId w:val="10"/>
  </w:num>
  <w:num w:numId="9">
    <w:abstractNumId w:val="4"/>
  </w:num>
  <w:num w:numId="10">
    <w:abstractNumId w:val="0"/>
  </w:num>
  <w:num w:numId="11">
    <w:abstractNumId w:val="7"/>
  </w:num>
  <w:num w:numId="12">
    <w:abstractNumId w:val="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FE"/>
    <w:rsid w:val="000026BE"/>
    <w:rsid w:val="00004E92"/>
    <w:rsid w:val="0000546D"/>
    <w:rsid w:val="0000609A"/>
    <w:rsid w:val="0000636E"/>
    <w:rsid w:val="00007F49"/>
    <w:rsid w:val="0001190E"/>
    <w:rsid w:val="000133ED"/>
    <w:rsid w:val="00013971"/>
    <w:rsid w:val="00016508"/>
    <w:rsid w:val="00017716"/>
    <w:rsid w:val="00021FA7"/>
    <w:rsid w:val="00023424"/>
    <w:rsid w:val="0003334C"/>
    <w:rsid w:val="00035701"/>
    <w:rsid w:val="00051DF3"/>
    <w:rsid w:val="00052BE3"/>
    <w:rsid w:val="00054871"/>
    <w:rsid w:val="00056908"/>
    <w:rsid w:val="00060475"/>
    <w:rsid w:val="0006151D"/>
    <w:rsid w:val="0006214D"/>
    <w:rsid w:val="000705B6"/>
    <w:rsid w:val="00073CB3"/>
    <w:rsid w:val="0008076C"/>
    <w:rsid w:val="00082120"/>
    <w:rsid w:val="0008711E"/>
    <w:rsid w:val="0009003F"/>
    <w:rsid w:val="00093182"/>
    <w:rsid w:val="00094A45"/>
    <w:rsid w:val="00095A62"/>
    <w:rsid w:val="000979D0"/>
    <w:rsid w:val="000A393B"/>
    <w:rsid w:val="000A5CBD"/>
    <w:rsid w:val="000A6558"/>
    <w:rsid w:val="000B0BDA"/>
    <w:rsid w:val="000B1426"/>
    <w:rsid w:val="000B2435"/>
    <w:rsid w:val="000B2733"/>
    <w:rsid w:val="000B3351"/>
    <w:rsid w:val="000C2DBB"/>
    <w:rsid w:val="000C40C6"/>
    <w:rsid w:val="000C447E"/>
    <w:rsid w:val="000D050A"/>
    <w:rsid w:val="000D099F"/>
    <w:rsid w:val="000D2799"/>
    <w:rsid w:val="000D3A85"/>
    <w:rsid w:val="000D44A1"/>
    <w:rsid w:val="000D50B4"/>
    <w:rsid w:val="000D7CD8"/>
    <w:rsid w:val="000F0E48"/>
    <w:rsid w:val="000F1B75"/>
    <w:rsid w:val="000F6E6E"/>
    <w:rsid w:val="00112985"/>
    <w:rsid w:val="0011335A"/>
    <w:rsid w:val="0011415B"/>
    <w:rsid w:val="00114EBE"/>
    <w:rsid w:val="00115D92"/>
    <w:rsid w:val="00121897"/>
    <w:rsid w:val="00123907"/>
    <w:rsid w:val="00123D7B"/>
    <w:rsid w:val="00127CF4"/>
    <w:rsid w:val="00127EDB"/>
    <w:rsid w:val="00132E8C"/>
    <w:rsid w:val="001370D0"/>
    <w:rsid w:val="001403A5"/>
    <w:rsid w:val="00140432"/>
    <w:rsid w:val="00150316"/>
    <w:rsid w:val="00151FE1"/>
    <w:rsid w:val="0015529A"/>
    <w:rsid w:val="00162923"/>
    <w:rsid w:val="00165256"/>
    <w:rsid w:val="001713DB"/>
    <w:rsid w:val="001719A0"/>
    <w:rsid w:val="00172786"/>
    <w:rsid w:val="00173B6A"/>
    <w:rsid w:val="00174BD7"/>
    <w:rsid w:val="0018011D"/>
    <w:rsid w:val="001824C4"/>
    <w:rsid w:val="0018296A"/>
    <w:rsid w:val="00182D94"/>
    <w:rsid w:val="00184116"/>
    <w:rsid w:val="0018469E"/>
    <w:rsid w:val="00187036"/>
    <w:rsid w:val="001925F7"/>
    <w:rsid w:val="001930D0"/>
    <w:rsid w:val="001956B9"/>
    <w:rsid w:val="001957BA"/>
    <w:rsid w:val="001A3607"/>
    <w:rsid w:val="001A3D95"/>
    <w:rsid w:val="001A5DFF"/>
    <w:rsid w:val="001A77A5"/>
    <w:rsid w:val="001B3A4C"/>
    <w:rsid w:val="001C0A75"/>
    <w:rsid w:val="001C4875"/>
    <w:rsid w:val="001C565C"/>
    <w:rsid w:val="001C79C5"/>
    <w:rsid w:val="001D0998"/>
    <w:rsid w:val="001D225C"/>
    <w:rsid w:val="001D3FD9"/>
    <w:rsid w:val="001D6507"/>
    <w:rsid w:val="001E7447"/>
    <w:rsid w:val="001F377D"/>
    <w:rsid w:val="001F39D3"/>
    <w:rsid w:val="001F4BDA"/>
    <w:rsid w:val="001F5790"/>
    <w:rsid w:val="001F5E12"/>
    <w:rsid w:val="00200CBB"/>
    <w:rsid w:val="002044D9"/>
    <w:rsid w:val="00207356"/>
    <w:rsid w:val="00210CDD"/>
    <w:rsid w:val="002112FD"/>
    <w:rsid w:val="002118A5"/>
    <w:rsid w:val="00211958"/>
    <w:rsid w:val="00214E09"/>
    <w:rsid w:val="00216C43"/>
    <w:rsid w:val="00216DF7"/>
    <w:rsid w:val="00225783"/>
    <w:rsid w:val="00226CEC"/>
    <w:rsid w:val="00227287"/>
    <w:rsid w:val="002363FB"/>
    <w:rsid w:val="00241500"/>
    <w:rsid w:val="0024438B"/>
    <w:rsid w:val="00245240"/>
    <w:rsid w:val="002503A7"/>
    <w:rsid w:val="00250C39"/>
    <w:rsid w:val="00253187"/>
    <w:rsid w:val="00253B02"/>
    <w:rsid w:val="00254CC3"/>
    <w:rsid w:val="00255A48"/>
    <w:rsid w:val="00256E77"/>
    <w:rsid w:val="00275F18"/>
    <w:rsid w:val="00276CCB"/>
    <w:rsid w:val="00290EF4"/>
    <w:rsid w:val="00291AC8"/>
    <w:rsid w:val="00296936"/>
    <w:rsid w:val="002A1FA4"/>
    <w:rsid w:val="002A2254"/>
    <w:rsid w:val="002A2777"/>
    <w:rsid w:val="002A40A4"/>
    <w:rsid w:val="002A632A"/>
    <w:rsid w:val="002B0E8A"/>
    <w:rsid w:val="002B3112"/>
    <w:rsid w:val="002B44A4"/>
    <w:rsid w:val="002B580E"/>
    <w:rsid w:val="002B5979"/>
    <w:rsid w:val="002C390B"/>
    <w:rsid w:val="002D2FB3"/>
    <w:rsid w:val="002D53E7"/>
    <w:rsid w:val="002D55C5"/>
    <w:rsid w:val="002E2046"/>
    <w:rsid w:val="002E2171"/>
    <w:rsid w:val="002E3602"/>
    <w:rsid w:val="002E42DD"/>
    <w:rsid w:val="002F50DC"/>
    <w:rsid w:val="002F7BD3"/>
    <w:rsid w:val="00300B49"/>
    <w:rsid w:val="00301A52"/>
    <w:rsid w:val="00304E52"/>
    <w:rsid w:val="00305FA5"/>
    <w:rsid w:val="00307A5A"/>
    <w:rsid w:val="003127FE"/>
    <w:rsid w:val="003168C7"/>
    <w:rsid w:val="003211B8"/>
    <w:rsid w:val="0032622C"/>
    <w:rsid w:val="003302F2"/>
    <w:rsid w:val="003316C3"/>
    <w:rsid w:val="00331CD1"/>
    <w:rsid w:val="00334128"/>
    <w:rsid w:val="0033656E"/>
    <w:rsid w:val="003427D6"/>
    <w:rsid w:val="00342A75"/>
    <w:rsid w:val="0034328F"/>
    <w:rsid w:val="0034362A"/>
    <w:rsid w:val="003540FC"/>
    <w:rsid w:val="003665EF"/>
    <w:rsid w:val="00367DE1"/>
    <w:rsid w:val="00370859"/>
    <w:rsid w:val="0037493E"/>
    <w:rsid w:val="00380E67"/>
    <w:rsid w:val="00380E75"/>
    <w:rsid w:val="003833BD"/>
    <w:rsid w:val="00383686"/>
    <w:rsid w:val="0038599A"/>
    <w:rsid w:val="0038782B"/>
    <w:rsid w:val="00395EA5"/>
    <w:rsid w:val="0039737A"/>
    <w:rsid w:val="003977B6"/>
    <w:rsid w:val="003A4E44"/>
    <w:rsid w:val="003B03A9"/>
    <w:rsid w:val="003B45B9"/>
    <w:rsid w:val="003C2750"/>
    <w:rsid w:val="003D0AB7"/>
    <w:rsid w:val="003D112C"/>
    <w:rsid w:val="003D4B0B"/>
    <w:rsid w:val="003D6172"/>
    <w:rsid w:val="003D6C71"/>
    <w:rsid w:val="003D783C"/>
    <w:rsid w:val="003E1043"/>
    <w:rsid w:val="003E139C"/>
    <w:rsid w:val="003E5F05"/>
    <w:rsid w:val="003E64CB"/>
    <w:rsid w:val="003E71AF"/>
    <w:rsid w:val="003E7EA4"/>
    <w:rsid w:val="003F0B35"/>
    <w:rsid w:val="003F3442"/>
    <w:rsid w:val="003F509D"/>
    <w:rsid w:val="00402C0D"/>
    <w:rsid w:val="00407F79"/>
    <w:rsid w:val="00410969"/>
    <w:rsid w:val="00412266"/>
    <w:rsid w:val="00420EC0"/>
    <w:rsid w:val="00424467"/>
    <w:rsid w:val="004255CE"/>
    <w:rsid w:val="0043228D"/>
    <w:rsid w:val="004337AF"/>
    <w:rsid w:val="0043517E"/>
    <w:rsid w:val="0043757D"/>
    <w:rsid w:val="004468A0"/>
    <w:rsid w:val="004506AE"/>
    <w:rsid w:val="00450F70"/>
    <w:rsid w:val="004512B9"/>
    <w:rsid w:val="004528BC"/>
    <w:rsid w:val="00452BE1"/>
    <w:rsid w:val="00467A00"/>
    <w:rsid w:val="00467F60"/>
    <w:rsid w:val="004721FF"/>
    <w:rsid w:val="00472836"/>
    <w:rsid w:val="004742AE"/>
    <w:rsid w:val="0047543E"/>
    <w:rsid w:val="0047718A"/>
    <w:rsid w:val="004818BF"/>
    <w:rsid w:val="00481F5E"/>
    <w:rsid w:val="00485A70"/>
    <w:rsid w:val="00493B89"/>
    <w:rsid w:val="00493BB4"/>
    <w:rsid w:val="00494196"/>
    <w:rsid w:val="00496C31"/>
    <w:rsid w:val="004A358F"/>
    <w:rsid w:val="004A4452"/>
    <w:rsid w:val="004A54BA"/>
    <w:rsid w:val="004C1EC5"/>
    <w:rsid w:val="004C532C"/>
    <w:rsid w:val="004C54B6"/>
    <w:rsid w:val="004D272C"/>
    <w:rsid w:val="004D336F"/>
    <w:rsid w:val="004D5BA5"/>
    <w:rsid w:val="004E0AAB"/>
    <w:rsid w:val="004E5F2E"/>
    <w:rsid w:val="004E67CB"/>
    <w:rsid w:val="004E6929"/>
    <w:rsid w:val="004E6FEB"/>
    <w:rsid w:val="004F0A3F"/>
    <w:rsid w:val="004F0DDF"/>
    <w:rsid w:val="004F265C"/>
    <w:rsid w:val="004F5518"/>
    <w:rsid w:val="004F65D9"/>
    <w:rsid w:val="004F6ACD"/>
    <w:rsid w:val="00500A1C"/>
    <w:rsid w:val="005012BD"/>
    <w:rsid w:val="00502699"/>
    <w:rsid w:val="005038B4"/>
    <w:rsid w:val="005064CB"/>
    <w:rsid w:val="00511145"/>
    <w:rsid w:val="00517F3A"/>
    <w:rsid w:val="00524F50"/>
    <w:rsid w:val="00526E31"/>
    <w:rsid w:val="00527129"/>
    <w:rsid w:val="005305E8"/>
    <w:rsid w:val="00531FA2"/>
    <w:rsid w:val="00533D09"/>
    <w:rsid w:val="00534454"/>
    <w:rsid w:val="00535441"/>
    <w:rsid w:val="00540D7D"/>
    <w:rsid w:val="00544131"/>
    <w:rsid w:val="0054586C"/>
    <w:rsid w:val="0054632B"/>
    <w:rsid w:val="00553F0F"/>
    <w:rsid w:val="005559ED"/>
    <w:rsid w:val="00556653"/>
    <w:rsid w:val="005567DD"/>
    <w:rsid w:val="00556A57"/>
    <w:rsid w:val="0056524B"/>
    <w:rsid w:val="00567811"/>
    <w:rsid w:val="005740A5"/>
    <w:rsid w:val="005746F7"/>
    <w:rsid w:val="005758B0"/>
    <w:rsid w:val="00582BB8"/>
    <w:rsid w:val="00582C11"/>
    <w:rsid w:val="005918EB"/>
    <w:rsid w:val="00596E51"/>
    <w:rsid w:val="005A0254"/>
    <w:rsid w:val="005A12FE"/>
    <w:rsid w:val="005A149F"/>
    <w:rsid w:val="005A181B"/>
    <w:rsid w:val="005A2478"/>
    <w:rsid w:val="005A3B43"/>
    <w:rsid w:val="005A3DC3"/>
    <w:rsid w:val="005A60AC"/>
    <w:rsid w:val="005B20FD"/>
    <w:rsid w:val="005B251E"/>
    <w:rsid w:val="005B37B3"/>
    <w:rsid w:val="005B3D60"/>
    <w:rsid w:val="005B4630"/>
    <w:rsid w:val="005B4836"/>
    <w:rsid w:val="005B54DF"/>
    <w:rsid w:val="005B7821"/>
    <w:rsid w:val="005C3FD6"/>
    <w:rsid w:val="005C4318"/>
    <w:rsid w:val="005D14B2"/>
    <w:rsid w:val="005D24AE"/>
    <w:rsid w:val="005D28BA"/>
    <w:rsid w:val="005D2F14"/>
    <w:rsid w:val="005D3F9E"/>
    <w:rsid w:val="005D64E8"/>
    <w:rsid w:val="005E0522"/>
    <w:rsid w:val="005E0D1A"/>
    <w:rsid w:val="005E27FF"/>
    <w:rsid w:val="005F4034"/>
    <w:rsid w:val="005F5875"/>
    <w:rsid w:val="005F6E48"/>
    <w:rsid w:val="005F7445"/>
    <w:rsid w:val="00605592"/>
    <w:rsid w:val="006108D3"/>
    <w:rsid w:val="00611C25"/>
    <w:rsid w:val="00611F14"/>
    <w:rsid w:val="00614443"/>
    <w:rsid w:val="00617F54"/>
    <w:rsid w:val="006209AC"/>
    <w:rsid w:val="00625F61"/>
    <w:rsid w:val="006324CD"/>
    <w:rsid w:val="00645E4D"/>
    <w:rsid w:val="0064747F"/>
    <w:rsid w:val="00651FEA"/>
    <w:rsid w:val="00653825"/>
    <w:rsid w:val="006623C7"/>
    <w:rsid w:val="0066592C"/>
    <w:rsid w:val="006674C0"/>
    <w:rsid w:val="0068051E"/>
    <w:rsid w:val="00683D1A"/>
    <w:rsid w:val="00684867"/>
    <w:rsid w:val="006848E7"/>
    <w:rsid w:val="00685CFA"/>
    <w:rsid w:val="00690484"/>
    <w:rsid w:val="006A36E9"/>
    <w:rsid w:val="006A68F4"/>
    <w:rsid w:val="006B09CF"/>
    <w:rsid w:val="006C34ED"/>
    <w:rsid w:val="006C4436"/>
    <w:rsid w:val="006D0258"/>
    <w:rsid w:val="006D5F4D"/>
    <w:rsid w:val="006E37C4"/>
    <w:rsid w:val="006F22F7"/>
    <w:rsid w:val="006F575F"/>
    <w:rsid w:val="00701768"/>
    <w:rsid w:val="007021B9"/>
    <w:rsid w:val="007028FD"/>
    <w:rsid w:val="00703832"/>
    <w:rsid w:val="0070400D"/>
    <w:rsid w:val="00707A31"/>
    <w:rsid w:val="0071185C"/>
    <w:rsid w:val="00716062"/>
    <w:rsid w:val="00721C44"/>
    <w:rsid w:val="007236D9"/>
    <w:rsid w:val="0072425F"/>
    <w:rsid w:val="007251F2"/>
    <w:rsid w:val="00727939"/>
    <w:rsid w:val="007323B7"/>
    <w:rsid w:val="0073394A"/>
    <w:rsid w:val="00742DAA"/>
    <w:rsid w:val="00743C66"/>
    <w:rsid w:val="00751B43"/>
    <w:rsid w:val="00753A5A"/>
    <w:rsid w:val="00753E80"/>
    <w:rsid w:val="007610F4"/>
    <w:rsid w:val="007615E1"/>
    <w:rsid w:val="0076332F"/>
    <w:rsid w:val="00764617"/>
    <w:rsid w:val="007669AC"/>
    <w:rsid w:val="00767AD3"/>
    <w:rsid w:val="00772A26"/>
    <w:rsid w:val="00775B38"/>
    <w:rsid w:val="0078033E"/>
    <w:rsid w:val="00785352"/>
    <w:rsid w:val="00786758"/>
    <w:rsid w:val="00794201"/>
    <w:rsid w:val="00794B68"/>
    <w:rsid w:val="00797324"/>
    <w:rsid w:val="007A60F3"/>
    <w:rsid w:val="007A7387"/>
    <w:rsid w:val="007B0407"/>
    <w:rsid w:val="007B7923"/>
    <w:rsid w:val="007C07F7"/>
    <w:rsid w:val="007C120C"/>
    <w:rsid w:val="007C152D"/>
    <w:rsid w:val="007C5691"/>
    <w:rsid w:val="007C769F"/>
    <w:rsid w:val="007E2B20"/>
    <w:rsid w:val="007E427E"/>
    <w:rsid w:val="007F0C3C"/>
    <w:rsid w:val="00810E52"/>
    <w:rsid w:val="008172F8"/>
    <w:rsid w:val="0082052F"/>
    <w:rsid w:val="008238F4"/>
    <w:rsid w:val="00824536"/>
    <w:rsid w:val="0083050C"/>
    <w:rsid w:val="00830BB6"/>
    <w:rsid w:val="00831D2F"/>
    <w:rsid w:val="00833518"/>
    <w:rsid w:val="008357DC"/>
    <w:rsid w:val="008376B9"/>
    <w:rsid w:val="0084419A"/>
    <w:rsid w:val="00844537"/>
    <w:rsid w:val="00852875"/>
    <w:rsid w:val="0085423D"/>
    <w:rsid w:val="008635B8"/>
    <w:rsid w:val="00864981"/>
    <w:rsid w:val="00866479"/>
    <w:rsid w:val="00871F14"/>
    <w:rsid w:val="00880DBC"/>
    <w:rsid w:val="00881C2D"/>
    <w:rsid w:val="00884026"/>
    <w:rsid w:val="00885BA8"/>
    <w:rsid w:val="00895410"/>
    <w:rsid w:val="008967E7"/>
    <w:rsid w:val="008A0FE8"/>
    <w:rsid w:val="008A1283"/>
    <w:rsid w:val="008A147D"/>
    <w:rsid w:val="008A1A27"/>
    <w:rsid w:val="008A3344"/>
    <w:rsid w:val="008A49E1"/>
    <w:rsid w:val="008A6DEE"/>
    <w:rsid w:val="008B15DD"/>
    <w:rsid w:val="008B65CC"/>
    <w:rsid w:val="008B711F"/>
    <w:rsid w:val="008B7CEE"/>
    <w:rsid w:val="008C15AB"/>
    <w:rsid w:val="008C2BCC"/>
    <w:rsid w:val="008C4A89"/>
    <w:rsid w:val="008C5780"/>
    <w:rsid w:val="008C6313"/>
    <w:rsid w:val="008C6A20"/>
    <w:rsid w:val="008D069C"/>
    <w:rsid w:val="008D10D5"/>
    <w:rsid w:val="008D3F67"/>
    <w:rsid w:val="008D5762"/>
    <w:rsid w:val="008E051F"/>
    <w:rsid w:val="008E22F4"/>
    <w:rsid w:val="008E23D5"/>
    <w:rsid w:val="008E2AA9"/>
    <w:rsid w:val="008E3A58"/>
    <w:rsid w:val="008E7488"/>
    <w:rsid w:val="008E7FF7"/>
    <w:rsid w:val="008F180D"/>
    <w:rsid w:val="008F2500"/>
    <w:rsid w:val="008F46C1"/>
    <w:rsid w:val="008F5539"/>
    <w:rsid w:val="008F59D3"/>
    <w:rsid w:val="008F62B6"/>
    <w:rsid w:val="008F6B14"/>
    <w:rsid w:val="0090034E"/>
    <w:rsid w:val="00900BB6"/>
    <w:rsid w:val="009013F0"/>
    <w:rsid w:val="00901B12"/>
    <w:rsid w:val="00904023"/>
    <w:rsid w:val="0090409E"/>
    <w:rsid w:val="00904E0E"/>
    <w:rsid w:val="009058DE"/>
    <w:rsid w:val="00905F0E"/>
    <w:rsid w:val="00911963"/>
    <w:rsid w:val="00912C7D"/>
    <w:rsid w:val="00913561"/>
    <w:rsid w:val="00915AE5"/>
    <w:rsid w:val="00916B7B"/>
    <w:rsid w:val="009173A7"/>
    <w:rsid w:val="0092136F"/>
    <w:rsid w:val="00926FC2"/>
    <w:rsid w:val="009273B8"/>
    <w:rsid w:val="0093315A"/>
    <w:rsid w:val="009342E4"/>
    <w:rsid w:val="009358C5"/>
    <w:rsid w:val="00937B1D"/>
    <w:rsid w:val="00937D9F"/>
    <w:rsid w:val="00941DBB"/>
    <w:rsid w:val="009515B7"/>
    <w:rsid w:val="00955290"/>
    <w:rsid w:val="00956064"/>
    <w:rsid w:val="009577B0"/>
    <w:rsid w:val="00966113"/>
    <w:rsid w:val="00966246"/>
    <w:rsid w:val="00974697"/>
    <w:rsid w:val="009749B2"/>
    <w:rsid w:val="00980331"/>
    <w:rsid w:val="0098038D"/>
    <w:rsid w:val="00984086"/>
    <w:rsid w:val="00984D23"/>
    <w:rsid w:val="0098605F"/>
    <w:rsid w:val="0099140F"/>
    <w:rsid w:val="00991F23"/>
    <w:rsid w:val="00993C72"/>
    <w:rsid w:val="009973CE"/>
    <w:rsid w:val="009A0F48"/>
    <w:rsid w:val="009A220F"/>
    <w:rsid w:val="009A5280"/>
    <w:rsid w:val="009A61C2"/>
    <w:rsid w:val="009A7752"/>
    <w:rsid w:val="009A7A45"/>
    <w:rsid w:val="009C1832"/>
    <w:rsid w:val="009D6BCD"/>
    <w:rsid w:val="009E0CDE"/>
    <w:rsid w:val="009E2420"/>
    <w:rsid w:val="009E668A"/>
    <w:rsid w:val="009F21B7"/>
    <w:rsid w:val="009F57D6"/>
    <w:rsid w:val="00A02F07"/>
    <w:rsid w:val="00A03532"/>
    <w:rsid w:val="00A04A3E"/>
    <w:rsid w:val="00A11EED"/>
    <w:rsid w:val="00A1376E"/>
    <w:rsid w:val="00A1392F"/>
    <w:rsid w:val="00A21E58"/>
    <w:rsid w:val="00A23545"/>
    <w:rsid w:val="00A236C0"/>
    <w:rsid w:val="00A242D6"/>
    <w:rsid w:val="00A2749F"/>
    <w:rsid w:val="00A27AE9"/>
    <w:rsid w:val="00A27C5D"/>
    <w:rsid w:val="00A337B3"/>
    <w:rsid w:val="00A344CC"/>
    <w:rsid w:val="00A3582B"/>
    <w:rsid w:val="00A46B1B"/>
    <w:rsid w:val="00A5181B"/>
    <w:rsid w:val="00A528B2"/>
    <w:rsid w:val="00A52FD9"/>
    <w:rsid w:val="00A5311D"/>
    <w:rsid w:val="00A53DD4"/>
    <w:rsid w:val="00A54BAB"/>
    <w:rsid w:val="00A5777A"/>
    <w:rsid w:val="00A6325F"/>
    <w:rsid w:val="00A63A16"/>
    <w:rsid w:val="00A65372"/>
    <w:rsid w:val="00A65DBE"/>
    <w:rsid w:val="00A700FD"/>
    <w:rsid w:val="00A720B9"/>
    <w:rsid w:val="00A8285B"/>
    <w:rsid w:val="00A82A32"/>
    <w:rsid w:val="00A83237"/>
    <w:rsid w:val="00A833E6"/>
    <w:rsid w:val="00A845B1"/>
    <w:rsid w:val="00A84793"/>
    <w:rsid w:val="00A849BA"/>
    <w:rsid w:val="00A85110"/>
    <w:rsid w:val="00A94C4B"/>
    <w:rsid w:val="00A954CD"/>
    <w:rsid w:val="00AA011F"/>
    <w:rsid w:val="00AA4425"/>
    <w:rsid w:val="00AA5844"/>
    <w:rsid w:val="00AA59A5"/>
    <w:rsid w:val="00AA7549"/>
    <w:rsid w:val="00AB198E"/>
    <w:rsid w:val="00AB292D"/>
    <w:rsid w:val="00AB3C5A"/>
    <w:rsid w:val="00AB6D2D"/>
    <w:rsid w:val="00AC3A16"/>
    <w:rsid w:val="00AC5F77"/>
    <w:rsid w:val="00AC6ECF"/>
    <w:rsid w:val="00AD4AF5"/>
    <w:rsid w:val="00AE1418"/>
    <w:rsid w:val="00AE19F8"/>
    <w:rsid w:val="00AE2361"/>
    <w:rsid w:val="00AE2E88"/>
    <w:rsid w:val="00AF05E5"/>
    <w:rsid w:val="00AF12C4"/>
    <w:rsid w:val="00AF3A6E"/>
    <w:rsid w:val="00AF48FC"/>
    <w:rsid w:val="00B0252C"/>
    <w:rsid w:val="00B02655"/>
    <w:rsid w:val="00B03309"/>
    <w:rsid w:val="00B04995"/>
    <w:rsid w:val="00B055BF"/>
    <w:rsid w:val="00B147F9"/>
    <w:rsid w:val="00B1768B"/>
    <w:rsid w:val="00B21633"/>
    <w:rsid w:val="00B24824"/>
    <w:rsid w:val="00B30B3D"/>
    <w:rsid w:val="00B316F0"/>
    <w:rsid w:val="00B31BDB"/>
    <w:rsid w:val="00B34215"/>
    <w:rsid w:val="00B40D63"/>
    <w:rsid w:val="00B43C71"/>
    <w:rsid w:val="00B46BE5"/>
    <w:rsid w:val="00B47F4B"/>
    <w:rsid w:val="00B54C99"/>
    <w:rsid w:val="00B55A83"/>
    <w:rsid w:val="00B605DF"/>
    <w:rsid w:val="00B63F7F"/>
    <w:rsid w:val="00B6439D"/>
    <w:rsid w:val="00B64FD3"/>
    <w:rsid w:val="00B7176F"/>
    <w:rsid w:val="00B91275"/>
    <w:rsid w:val="00B933EE"/>
    <w:rsid w:val="00B96025"/>
    <w:rsid w:val="00BA0FF5"/>
    <w:rsid w:val="00BB4325"/>
    <w:rsid w:val="00BB7374"/>
    <w:rsid w:val="00BC47D4"/>
    <w:rsid w:val="00BC4E0E"/>
    <w:rsid w:val="00BD17F5"/>
    <w:rsid w:val="00BD5EE6"/>
    <w:rsid w:val="00BE504F"/>
    <w:rsid w:val="00BE59B4"/>
    <w:rsid w:val="00BF0D7F"/>
    <w:rsid w:val="00BF3B01"/>
    <w:rsid w:val="00BF560A"/>
    <w:rsid w:val="00BF5D94"/>
    <w:rsid w:val="00BF61B2"/>
    <w:rsid w:val="00BF7E06"/>
    <w:rsid w:val="00C00794"/>
    <w:rsid w:val="00C0296C"/>
    <w:rsid w:val="00C065B5"/>
    <w:rsid w:val="00C07226"/>
    <w:rsid w:val="00C07407"/>
    <w:rsid w:val="00C109FB"/>
    <w:rsid w:val="00C141F8"/>
    <w:rsid w:val="00C165A0"/>
    <w:rsid w:val="00C224E7"/>
    <w:rsid w:val="00C231C8"/>
    <w:rsid w:val="00C24320"/>
    <w:rsid w:val="00C248CD"/>
    <w:rsid w:val="00C36F86"/>
    <w:rsid w:val="00C43AF9"/>
    <w:rsid w:val="00C53916"/>
    <w:rsid w:val="00C53D51"/>
    <w:rsid w:val="00C6162D"/>
    <w:rsid w:val="00C63079"/>
    <w:rsid w:val="00C63B29"/>
    <w:rsid w:val="00C64F3E"/>
    <w:rsid w:val="00C65EFD"/>
    <w:rsid w:val="00C72CD5"/>
    <w:rsid w:val="00C74DB8"/>
    <w:rsid w:val="00C758AA"/>
    <w:rsid w:val="00C75987"/>
    <w:rsid w:val="00C80530"/>
    <w:rsid w:val="00C85B7E"/>
    <w:rsid w:val="00C8683D"/>
    <w:rsid w:val="00C911AC"/>
    <w:rsid w:val="00C923FA"/>
    <w:rsid w:val="00C95663"/>
    <w:rsid w:val="00CA4BC5"/>
    <w:rsid w:val="00CA7828"/>
    <w:rsid w:val="00CB1B9B"/>
    <w:rsid w:val="00CB2A0C"/>
    <w:rsid w:val="00CB5012"/>
    <w:rsid w:val="00CB6196"/>
    <w:rsid w:val="00CB6E75"/>
    <w:rsid w:val="00CC0C1C"/>
    <w:rsid w:val="00CC2C6E"/>
    <w:rsid w:val="00CC45B8"/>
    <w:rsid w:val="00CD2A3A"/>
    <w:rsid w:val="00CD4827"/>
    <w:rsid w:val="00CE104D"/>
    <w:rsid w:val="00CE1312"/>
    <w:rsid w:val="00CE229F"/>
    <w:rsid w:val="00CE2BFD"/>
    <w:rsid w:val="00CE2DC8"/>
    <w:rsid w:val="00CE3BB2"/>
    <w:rsid w:val="00CE5FA2"/>
    <w:rsid w:val="00CE67C1"/>
    <w:rsid w:val="00CE76C0"/>
    <w:rsid w:val="00CF03FD"/>
    <w:rsid w:val="00CF0F1B"/>
    <w:rsid w:val="00CF3C8D"/>
    <w:rsid w:val="00CF5011"/>
    <w:rsid w:val="00CF56B3"/>
    <w:rsid w:val="00D00001"/>
    <w:rsid w:val="00D04956"/>
    <w:rsid w:val="00D053D7"/>
    <w:rsid w:val="00D11031"/>
    <w:rsid w:val="00D133DE"/>
    <w:rsid w:val="00D144D3"/>
    <w:rsid w:val="00D15BB6"/>
    <w:rsid w:val="00D1614C"/>
    <w:rsid w:val="00D16495"/>
    <w:rsid w:val="00D1725C"/>
    <w:rsid w:val="00D203F0"/>
    <w:rsid w:val="00D2122F"/>
    <w:rsid w:val="00D2128D"/>
    <w:rsid w:val="00D2623A"/>
    <w:rsid w:val="00D300F1"/>
    <w:rsid w:val="00D308B1"/>
    <w:rsid w:val="00D30A16"/>
    <w:rsid w:val="00D31240"/>
    <w:rsid w:val="00D31C75"/>
    <w:rsid w:val="00D320F1"/>
    <w:rsid w:val="00D33E5E"/>
    <w:rsid w:val="00D37556"/>
    <w:rsid w:val="00D41687"/>
    <w:rsid w:val="00D542A9"/>
    <w:rsid w:val="00D57807"/>
    <w:rsid w:val="00D6078E"/>
    <w:rsid w:val="00D63723"/>
    <w:rsid w:val="00D63927"/>
    <w:rsid w:val="00D64661"/>
    <w:rsid w:val="00D72F49"/>
    <w:rsid w:val="00D74C60"/>
    <w:rsid w:val="00D753FE"/>
    <w:rsid w:val="00D84015"/>
    <w:rsid w:val="00D8473F"/>
    <w:rsid w:val="00D9105E"/>
    <w:rsid w:val="00D93722"/>
    <w:rsid w:val="00D939D9"/>
    <w:rsid w:val="00D93A43"/>
    <w:rsid w:val="00D943AC"/>
    <w:rsid w:val="00D97068"/>
    <w:rsid w:val="00D97CD8"/>
    <w:rsid w:val="00DA3B30"/>
    <w:rsid w:val="00DA55C7"/>
    <w:rsid w:val="00DB09C2"/>
    <w:rsid w:val="00DB2101"/>
    <w:rsid w:val="00DC3421"/>
    <w:rsid w:val="00DC4BFA"/>
    <w:rsid w:val="00DE7469"/>
    <w:rsid w:val="00DE7D55"/>
    <w:rsid w:val="00DF36B3"/>
    <w:rsid w:val="00DF3C8C"/>
    <w:rsid w:val="00DF57CB"/>
    <w:rsid w:val="00E010D3"/>
    <w:rsid w:val="00E01A2E"/>
    <w:rsid w:val="00E0300A"/>
    <w:rsid w:val="00E16515"/>
    <w:rsid w:val="00E21EAD"/>
    <w:rsid w:val="00E22232"/>
    <w:rsid w:val="00E233DB"/>
    <w:rsid w:val="00E31207"/>
    <w:rsid w:val="00E31519"/>
    <w:rsid w:val="00E330C9"/>
    <w:rsid w:val="00E34CCD"/>
    <w:rsid w:val="00E3554E"/>
    <w:rsid w:val="00E42B10"/>
    <w:rsid w:val="00E45569"/>
    <w:rsid w:val="00E45D99"/>
    <w:rsid w:val="00E4632A"/>
    <w:rsid w:val="00E47E47"/>
    <w:rsid w:val="00E5390C"/>
    <w:rsid w:val="00E55241"/>
    <w:rsid w:val="00E6081E"/>
    <w:rsid w:val="00E615BB"/>
    <w:rsid w:val="00E66D1D"/>
    <w:rsid w:val="00E779CC"/>
    <w:rsid w:val="00E80949"/>
    <w:rsid w:val="00E8415D"/>
    <w:rsid w:val="00E8552C"/>
    <w:rsid w:val="00E87D06"/>
    <w:rsid w:val="00E91DD9"/>
    <w:rsid w:val="00E96352"/>
    <w:rsid w:val="00EA22FD"/>
    <w:rsid w:val="00EA29C4"/>
    <w:rsid w:val="00EA34D2"/>
    <w:rsid w:val="00EA4909"/>
    <w:rsid w:val="00EA4BFA"/>
    <w:rsid w:val="00EA6443"/>
    <w:rsid w:val="00EA65E8"/>
    <w:rsid w:val="00EA7C4F"/>
    <w:rsid w:val="00EB0C38"/>
    <w:rsid w:val="00EB1D1D"/>
    <w:rsid w:val="00EB60C3"/>
    <w:rsid w:val="00ED0A72"/>
    <w:rsid w:val="00EE0655"/>
    <w:rsid w:val="00EE186B"/>
    <w:rsid w:val="00EE33F7"/>
    <w:rsid w:val="00EE4462"/>
    <w:rsid w:val="00EF0DE2"/>
    <w:rsid w:val="00EF1A67"/>
    <w:rsid w:val="00EF2C49"/>
    <w:rsid w:val="00EF43A4"/>
    <w:rsid w:val="00EF7747"/>
    <w:rsid w:val="00F03348"/>
    <w:rsid w:val="00F10304"/>
    <w:rsid w:val="00F21292"/>
    <w:rsid w:val="00F2423A"/>
    <w:rsid w:val="00F333AD"/>
    <w:rsid w:val="00F33EF2"/>
    <w:rsid w:val="00F46ACB"/>
    <w:rsid w:val="00F51BD2"/>
    <w:rsid w:val="00F52758"/>
    <w:rsid w:val="00F52D53"/>
    <w:rsid w:val="00F54E8A"/>
    <w:rsid w:val="00F551E6"/>
    <w:rsid w:val="00F60BA9"/>
    <w:rsid w:val="00F70CE2"/>
    <w:rsid w:val="00F75342"/>
    <w:rsid w:val="00F75C62"/>
    <w:rsid w:val="00F81D26"/>
    <w:rsid w:val="00F82133"/>
    <w:rsid w:val="00F83D5C"/>
    <w:rsid w:val="00F9068E"/>
    <w:rsid w:val="00F90FFE"/>
    <w:rsid w:val="00F917F6"/>
    <w:rsid w:val="00F92EE9"/>
    <w:rsid w:val="00F931AF"/>
    <w:rsid w:val="00F9671D"/>
    <w:rsid w:val="00FA31B3"/>
    <w:rsid w:val="00FB24C2"/>
    <w:rsid w:val="00FC221F"/>
    <w:rsid w:val="00FC4BD2"/>
    <w:rsid w:val="00FC643B"/>
    <w:rsid w:val="00FD11DE"/>
    <w:rsid w:val="00FD134A"/>
    <w:rsid w:val="00FD4D0D"/>
    <w:rsid w:val="00FD53A3"/>
    <w:rsid w:val="00FE1516"/>
    <w:rsid w:val="00FE16FB"/>
    <w:rsid w:val="00FE1EA2"/>
    <w:rsid w:val="00FE3C6D"/>
    <w:rsid w:val="00FE4B7B"/>
    <w:rsid w:val="00FE590B"/>
    <w:rsid w:val="00FF0717"/>
    <w:rsid w:val="00FF3409"/>
    <w:rsid w:val="00FF70A2"/>
    <w:rsid w:val="00FF73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693658-AE3D-44B5-B0EC-53F6F015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3FE"/>
    <w:pPr>
      <w:spacing w:before="40" w:after="160" w:line="260" w:lineRule="atLeast"/>
    </w:pPr>
    <w:rPr>
      <w:sz w:val="22"/>
      <w:szCs w:val="22"/>
      <w:lang w:eastAsia="en-US"/>
    </w:rPr>
  </w:style>
  <w:style w:type="paragraph" w:styleId="Heading1">
    <w:name w:val="heading 1"/>
    <w:basedOn w:val="Normal"/>
    <w:next w:val="Normal"/>
    <w:link w:val="Heading1Char"/>
    <w:uiPriority w:val="9"/>
    <w:qFormat/>
    <w:rsid w:val="004F65D9"/>
    <w:pPr>
      <w:keepNext/>
      <w:spacing w:before="480" w:after="24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4F65D9"/>
    <w:pPr>
      <w:keepNext/>
      <w:spacing w:before="240" w:after="24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D753FE"/>
    <w:pPr>
      <w:keepNext/>
      <w:spacing w:before="240" w:after="60"/>
      <w:outlineLvl w:val="2"/>
    </w:pPr>
    <w:rPr>
      <w:rFonts w:ascii="Cambria" w:eastAsia="Times New Roman" w:hAnsi="Cambria"/>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53FE"/>
    <w:rPr>
      <w:rFonts w:ascii="Cambria" w:eastAsia="Times New Roman" w:hAnsi="Cambria"/>
      <w:b/>
      <w:bCs/>
      <w:kern w:val="32"/>
      <w:sz w:val="32"/>
      <w:szCs w:val="32"/>
      <w:lang w:eastAsia="en-US"/>
    </w:rPr>
  </w:style>
  <w:style w:type="character" w:customStyle="1" w:styleId="Heading2Char">
    <w:name w:val="Heading 2 Char"/>
    <w:link w:val="Heading2"/>
    <w:uiPriority w:val="9"/>
    <w:rsid w:val="00D753FE"/>
    <w:rPr>
      <w:rFonts w:ascii="Cambria" w:eastAsia="Times New Roman" w:hAnsi="Cambria"/>
      <w:b/>
      <w:bCs/>
      <w:i/>
      <w:iCs/>
      <w:sz w:val="28"/>
      <w:szCs w:val="28"/>
      <w:lang w:eastAsia="en-US"/>
    </w:rPr>
  </w:style>
  <w:style w:type="character" w:customStyle="1" w:styleId="Heading3Char">
    <w:name w:val="Heading 3 Char"/>
    <w:link w:val="Heading3"/>
    <w:uiPriority w:val="9"/>
    <w:rsid w:val="00D753FE"/>
    <w:rPr>
      <w:rFonts w:ascii="Cambria" w:eastAsia="Times New Roman" w:hAnsi="Cambria" w:cs="Times New Roman"/>
      <w:bCs/>
      <w:sz w:val="24"/>
      <w:szCs w:val="26"/>
      <w:u w:val="single"/>
    </w:rPr>
  </w:style>
  <w:style w:type="paragraph" w:styleId="ListParagraph">
    <w:name w:val="List Paragraph"/>
    <w:basedOn w:val="Normal"/>
    <w:uiPriority w:val="34"/>
    <w:qFormat/>
    <w:rsid w:val="00D753FE"/>
    <w:pPr>
      <w:spacing w:before="0" w:after="0" w:line="240" w:lineRule="auto"/>
      <w:ind w:left="720"/>
      <w:contextualSpacing/>
    </w:pPr>
    <w:rPr>
      <w:rFonts w:ascii="Times New Roman" w:eastAsia="Times New Roman" w:hAnsi="Times New Roman"/>
      <w:sz w:val="24"/>
      <w:szCs w:val="24"/>
      <w:lang w:eastAsia="en-NZ"/>
    </w:rPr>
  </w:style>
  <w:style w:type="character" w:styleId="CommentReference">
    <w:name w:val="annotation reference"/>
    <w:uiPriority w:val="99"/>
    <w:semiHidden/>
    <w:unhideWhenUsed/>
    <w:rsid w:val="00D753FE"/>
    <w:rPr>
      <w:sz w:val="16"/>
      <w:szCs w:val="16"/>
    </w:rPr>
  </w:style>
  <w:style w:type="paragraph" w:styleId="CommentText">
    <w:name w:val="annotation text"/>
    <w:basedOn w:val="Normal"/>
    <w:link w:val="CommentTextChar"/>
    <w:uiPriority w:val="99"/>
    <w:unhideWhenUsed/>
    <w:rsid w:val="00D753FE"/>
    <w:pPr>
      <w:spacing w:before="0" w:after="200" w:line="240" w:lineRule="auto"/>
    </w:pPr>
    <w:rPr>
      <w:sz w:val="20"/>
      <w:szCs w:val="20"/>
    </w:rPr>
  </w:style>
  <w:style w:type="character" w:customStyle="1" w:styleId="CommentTextChar">
    <w:name w:val="Comment Text Char"/>
    <w:link w:val="CommentText"/>
    <w:uiPriority w:val="99"/>
    <w:rsid w:val="00D753FE"/>
    <w:rPr>
      <w:rFonts w:ascii="Calibri" w:eastAsia="Calibri" w:hAnsi="Calibri" w:cs="Times New Roman"/>
      <w:sz w:val="20"/>
      <w:szCs w:val="20"/>
    </w:rPr>
  </w:style>
  <w:style w:type="paragraph" w:styleId="Header">
    <w:name w:val="header"/>
    <w:basedOn w:val="Normal"/>
    <w:link w:val="HeaderChar"/>
    <w:uiPriority w:val="99"/>
    <w:unhideWhenUsed/>
    <w:rsid w:val="00D753FE"/>
    <w:pPr>
      <w:tabs>
        <w:tab w:val="center" w:pos="4513"/>
        <w:tab w:val="right" w:pos="9026"/>
      </w:tabs>
    </w:pPr>
  </w:style>
  <w:style w:type="character" w:customStyle="1" w:styleId="HeaderChar">
    <w:name w:val="Header Char"/>
    <w:link w:val="Header"/>
    <w:uiPriority w:val="99"/>
    <w:rsid w:val="00D753FE"/>
    <w:rPr>
      <w:rFonts w:ascii="Calibri" w:eastAsia="Calibri" w:hAnsi="Calibri" w:cs="Times New Roman"/>
    </w:rPr>
  </w:style>
  <w:style w:type="paragraph" w:styleId="Footer">
    <w:name w:val="footer"/>
    <w:basedOn w:val="Normal"/>
    <w:link w:val="FooterChar"/>
    <w:uiPriority w:val="99"/>
    <w:unhideWhenUsed/>
    <w:rsid w:val="00D753FE"/>
    <w:pPr>
      <w:tabs>
        <w:tab w:val="center" w:pos="4513"/>
        <w:tab w:val="right" w:pos="9026"/>
      </w:tabs>
    </w:pPr>
  </w:style>
  <w:style w:type="character" w:customStyle="1" w:styleId="FooterChar">
    <w:name w:val="Footer Char"/>
    <w:link w:val="Footer"/>
    <w:uiPriority w:val="99"/>
    <w:rsid w:val="00D753FE"/>
    <w:rPr>
      <w:rFonts w:ascii="Calibri" w:eastAsia="Calibri" w:hAnsi="Calibri" w:cs="Times New Roman"/>
    </w:rPr>
  </w:style>
  <w:style w:type="paragraph" w:styleId="TOCHeading">
    <w:name w:val="TOC Heading"/>
    <w:basedOn w:val="Heading1"/>
    <w:next w:val="Normal"/>
    <w:uiPriority w:val="39"/>
    <w:semiHidden/>
    <w:unhideWhenUsed/>
    <w:qFormat/>
    <w:rsid w:val="00D753FE"/>
    <w:pPr>
      <w:keepLines/>
      <w:spacing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D753FE"/>
  </w:style>
  <w:style w:type="paragraph" w:styleId="TOC2">
    <w:name w:val="toc 2"/>
    <w:basedOn w:val="Normal"/>
    <w:next w:val="Normal"/>
    <w:autoRedefine/>
    <w:uiPriority w:val="39"/>
    <w:unhideWhenUsed/>
    <w:rsid w:val="00D753FE"/>
    <w:pPr>
      <w:ind w:left="220"/>
    </w:pPr>
  </w:style>
  <w:style w:type="character" w:styleId="Hyperlink">
    <w:name w:val="Hyperlink"/>
    <w:uiPriority w:val="99"/>
    <w:unhideWhenUsed/>
    <w:rsid w:val="00D753FE"/>
    <w:rPr>
      <w:color w:val="0000FF"/>
      <w:u w:val="single"/>
    </w:rPr>
  </w:style>
  <w:style w:type="paragraph" w:styleId="NoSpacing">
    <w:name w:val="No Spacing"/>
    <w:uiPriority w:val="1"/>
    <w:qFormat/>
    <w:rsid w:val="00D753FE"/>
    <w:rPr>
      <w:rFonts w:ascii="Verdana" w:eastAsia="Verdana" w:hAnsi="Verdana"/>
      <w:sz w:val="22"/>
      <w:szCs w:val="22"/>
      <w:lang w:eastAsia="en-US"/>
    </w:rPr>
  </w:style>
  <w:style w:type="paragraph" w:styleId="FootnoteText">
    <w:name w:val="footnote text"/>
    <w:basedOn w:val="Normal"/>
    <w:link w:val="FootnoteTextChar"/>
    <w:uiPriority w:val="99"/>
    <w:semiHidden/>
    <w:unhideWhenUsed/>
    <w:rsid w:val="00D753FE"/>
    <w:rPr>
      <w:sz w:val="20"/>
      <w:szCs w:val="20"/>
    </w:rPr>
  </w:style>
  <w:style w:type="character" w:customStyle="1" w:styleId="FootnoteTextChar">
    <w:name w:val="Footnote Text Char"/>
    <w:link w:val="FootnoteText"/>
    <w:uiPriority w:val="99"/>
    <w:semiHidden/>
    <w:rsid w:val="00D753FE"/>
    <w:rPr>
      <w:rFonts w:ascii="Calibri" w:eastAsia="Calibri" w:hAnsi="Calibri" w:cs="Times New Roman"/>
      <w:sz w:val="20"/>
      <w:szCs w:val="20"/>
    </w:rPr>
  </w:style>
  <w:style w:type="character" w:styleId="FootnoteReference">
    <w:name w:val="footnote reference"/>
    <w:uiPriority w:val="99"/>
    <w:semiHidden/>
    <w:unhideWhenUsed/>
    <w:rsid w:val="00D753FE"/>
    <w:rPr>
      <w:vertAlign w:val="superscript"/>
    </w:rPr>
  </w:style>
  <w:style w:type="paragraph" w:customStyle="1" w:styleId="Default">
    <w:name w:val="Default"/>
    <w:rsid w:val="00D753FE"/>
    <w:pPr>
      <w:autoSpaceDE w:val="0"/>
      <w:autoSpaceDN w:val="0"/>
      <w:adjustRightInd w:val="0"/>
    </w:pPr>
    <w:rPr>
      <w:rFonts w:cs="Calibri"/>
      <w:color w:val="000000"/>
      <w:sz w:val="24"/>
      <w:szCs w:val="24"/>
    </w:rPr>
  </w:style>
  <w:style w:type="paragraph" w:styleId="TOC3">
    <w:name w:val="toc 3"/>
    <w:basedOn w:val="Normal"/>
    <w:next w:val="Normal"/>
    <w:autoRedefine/>
    <w:uiPriority w:val="39"/>
    <w:unhideWhenUsed/>
    <w:rsid w:val="00D753FE"/>
    <w:pPr>
      <w:ind w:left="440"/>
    </w:pPr>
  </w:style>
  <w:style w:type="paragraph" w:styleId="BalloonText">
    <w:name w:val="Balloon Text"/>
    <w:basedOn w:val="Normal"/>
    <w:link w:val="BalloonTextChar"/>
    <w:uiPriority w:val="99"/>
    <w:semiHidden/>
    <w:unhideWhenUsed/>
    <w:rsid w:val="00D753FE"/>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D753FE"/>
    <w:rPr>
      <w:rFonts w:ascii="Tahoma" w:eastAsia="Calibri" w:hAnsi="Tahoma" w:cs="Tahoma"/>
      <w:sz w:val="16"/>
      <w:szCs w:val="16"/>
    </w:rPr>
  </w:style>
  <w:style w:type="paragraph" w:styleId="Caption">
    <w:name w:val="caption"/>
    <w:basedOn w:val="Normal"/>
    <w:next w:val="Normal"/>
    <w:uiPriority w:val="35"/>
    <w:unhideWhenUsed/>
    <w:qFormat/>
    <w:rsid w:val="004F65D9"/>
    <w:pPr>
      <w:spacing w:before="0" w:after="200" w:line="240" w:lineRule="auto"/>
    </w:pPr>
    <w:rPr>
      <w:b/>
      <w:bCs/>
      <w:color w:val="4F81BD"/>
      <w:sz w:val="18"/>
      <w:szCs w:val="18"/>
    </w:rPr>
  </w:style>
  <w:style w:type="paragraph" w:styleId="CommentSubject">
    <w:name w:val="annotation subject"/>
    <w:basedOn w:val="CommentText"/>
    <w:next w:val="CommentText"/>
    <w:link w:val="CommentSubjectChar"/>
    <w:uiPriority w:val="99"/>
    <w:semiHidden/>
    <w:unhideWhenUsed/>
    <w:rsid w:val="004F65D9"/>
    <w:pPr>
      <w:spacing w:before="40" w:after="160" w:line="260" w:lineRule="atLeast"/>
    </w:pPr>
    <w:rPr>
      <w:b/>
      <w:bCs/>
    </w:rPr>
  </w:style>
  <w:style w:type="character" w:customStyle="1" w:styleId="CommentSubjectChar">
    <w:name w:val="Comment Subject Char"/>
    <w:basedOn w:val="CommentTextChar"/>
    <w:link w:val="CommentSubject"/>
    <w:uiPriority w:val="99"/>
    <w:semiHidden/>
    <w:rsid w:val="004F65D9"/>
    <w:rPr>
      <w:rFonts w:ascii="Calibri" w:eastAsia="Calibri" w:hAnsi="Calibri" w:cs="Times New Roman"/>
      <w:b/>
      <w:bCs/>
      <w:sz w:val="20"/>
      <w:szCs w:val="20"/>
      <w:lang w:eastAsia="en-US"/>
    </w:rPr>
  </w:style>
  <w:style w:type="paragraph" w:styleId="Title">
    <w:name w:val="Title"/>
    <w:basedOn w:val="Normal"/>
    <w:next w:val="Normal"/>
    <w:link w:val="TitleChar"/>
    <w:uiPriority w:val="10"/>
    <w:qFormat/>
    <w:rsid w:val="004F65D9"/>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4F65D9"/>
    <w:rPr>
      <w:rFonts w:ascii="Cambria" w:eastAsia="Times New Roman" w:hAnsi="Cambria"/>
      <w:b/>
      <w:bCs/>
      <w:kern w:val="28"/>
      <w:sz w:val="32"/>
      <w:szCs w:val="32"/>
      <w:lang w:eastAsia="en-US"/>
    </w:rPr>
  </w:style>
  <w:style w:type="paragraph" w:styleId="Subtitle">
    <w:name w:val="Subtitle"/>
    <w:basedOn w:val="Normal"/>
    <w:next w:val="Normal"/>
    <w:link w:val="SubtitleChar"/>
    <w:uiPriority w:val="11"/>
    <w:qFormat/>
    <w:rsid w:val="004F65D9"/>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4F65D9"/>
    <w:rPr>
      <w:rFonts w:ascii="Cambria" w:eastAsia="Times New Roman" w:hAnsi="Cambria"/>
      <w:sz w:val="24"/>
      <w:szCs w:val="24"/>
      <w:lang w:eastAsia="en-US"/>
    </w:rPr>
  </w:style>
  <w:style w:type="paragraph" w:styleId="Revision">
    <w:name w:val="Revision"/>
    <w:hidden/>
    <w:uiPriority w:val="99"/>
    <w:semiHidden/>
    <w:rsid w:val="004F65D9"/>
    <w:rPr>
      <w:sz w:val="22"/>
      <w:szCs w:val="22"/>
      <w:lang w:eastAsia="en-US"/>
    </w:rPr>
  </w:style>
  <w:style w:type="character" w:styleId="FollowedHyperlink">
    <w:name w:val="FollowedHyperlink"/>
    <w:basedOn w:val="DefaultParagraphFont"/>
    <w:uiPriority w:val="99"/>
    <w:semiHidden/>
    <w:unhideWhenUsed/>
    <w:rsid w:val="00CE22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9075">
      <w:bodyDiv w:val="1"/>
      <w:marLeft w:val="0"/>
      <w:marRight w:val="0"/>
      <w:marTop w:val="0"/>
      <w:marBottom w:val="0"/>
      <w:divBdr>
        <w:top w:val="none" w:sz="0" w:space="0" w:color="auto"/>
        <w:left w:val="none" w:sz="0" w:space="0" w:color="auto"/>
        <w:bottom w:val="none" w:sz="0" w:space="0" w:color="auto"/>
        <w:right w:val="none" w:sz="0" w:space="0" w:color="auto"/>
      </w:divBdr>
    </w:div>
    <w:div w:id="702052628">
      <w:bodyDiv w:val="1"/>
      <w:marLeft w:val="0"/>
      <w:marRight w:val="0"/>
      <w:marTop w:val="0"/>
      <w:marBottom w:val="0"/>
      <w:divBdr>
        <w:top w:val="none" w:sz="0" w:space="0" w:color="auto"/>
        <w:left w:val="none" w:sz="0" w:space="0" w:color="auto"/>
        <w:bottom w:val="none" w:sz="0" w:space="0" w:color="auto"/>
        <w:right w:val="none" w:sz="0" w:space="0" w:color="auto"/>
      </w:divBdr>
    </w:div>
    <w:div w:id="919098204">
      <w:bodyDiv w:val="1"/>
      <w:marLeft w:val="0"/>
      <w:marRight w:val="0"/>
      <w:marTop w:val="0"/>
      <w:marBottom w:val="0"/>
      <w:divBdr>
        <w:top w:val="none" w:sz="0" w:space="0" w:color="auto"/>
        <w:left w:val="none" w:sz="0" w:space="0" w:color="auto"/>
        <w:bottom w:val="none" w:sz="0" w:space="0" w:color="auto"/>
        <w:right w:val="none" w:sz="0" w:space="0" w:color="auto"/>
      </w:divBdr>
    </w:div>
    <w:div w:id="1555004004">
      <w:bodyDiv w:val="1"/>
      <w:marLeft w:val="0"/>
      <w:marRight w:val="0"/>
      <w:marTop w:val="0"/>
      <w:marBottom w:val="0"/>
      <w:divBdr>
        <w:top w:val="none" w:sz="0" w:space="0" w:color="auto"/>
        <w:left w:val="none" w:sz="0" w:space="0" w:color="auto"/>
        <w:bottom w:val="none" w:sz="0" w:space="0" w:color="auto"/>
        <w:right w:val="none" w:sz="0" w:space="0" w:color="auto"/>
      </w:divBdr>
    </w:div>
    <w:div w:id="1724408455">
      <w:bodyDiv w:val="1"/>
      <w:marLeft w:val="0"/>
      <w:marRight w:val="0"/>
      <w:marTop w:val="0"/>
      <w:marBottom w:val="0"/>
      <w:divBdr>
        <w:top w:val="none" w:sz="0" w:space="0" w:color="auto"/>
        <w:left w:val="none" w:sz="0" w:space="0" w:color="auto"/>
        <w:bottom w:val="none" w:sz="0" w:space="0" w:color="auto"/>
        <w:right w:val="none" w:sz="0" w:space="0" w:color="auto"/>
      </w:divBdr>
    </w:div>
    <w:div w:id="19122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assets/d13d525322/research-science-and-innovation-domain-pla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5648D-3179-40F8-9018-1B9D298F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Jennifer Geard</cp:lastModifiedBy>
  <cp:revision>3</cp:revision>
  <cp:lastPrinted>2019-11-25T20:51:00Z</cp:lastPrinted>
  <dcterms:created xsi:type="dcterms:W3CDTF">2019-11-28T21:32:00Z</dcterms:created>
  <dcterms:modified xsi:type="dcterms:W3CDTF">2019-11-28T21:45:00Z</dcterms:modified>
</cp:coreProperties>
</file>