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A2134" w14:textId="77777777" w:rsidR="00AD5504" w:rsidRPr="00AD5504" w:rsidRDefault="00AD5504" w:rsidP="00AD5504">
      <w:pPr>
        <w:jc w:val="center"/>
      </w:pPr>
      <w:r w:rsidRPr="00AD5504">
        <w:t>SUMMARY OF SPECIFIC INSTANCES HANDLED BY NEW ZEALAND’S NATIONAL CONTACT POINT</w:t>
      </w:r>
    </w:p>
    <w:tbl>
      <w:tblPr>
        <w:tblStyle w:val="TableGrid"/>
        <w:tblW w:w="14967" w:type="dxa"/>
        <w:tblLook w:val="04A0" w:firstRow="1" w:lastRow="0" w:firstColumn="1" w:lastColumn="0" w:noHBand="0" w:noVBand="1"/>
      </w:tblPr>
      <w:tblGrid>
        <w:gridCol w:w="799"/>
        <w:gridCol w:w="952"/>
        <w:gridCol w:w="1924"/>
        <w:gridCol w:w="1531"/>
        <w:gridCol w:w="1165"/>
        <w:gridCol w:w="2041"/>
        <w:gridCol w:w="6549"/>
        <w:gridCol w:w="6"/>
      </w:tblGrid>
      <w:tr w:rsidR="00EB599C" w:rsidRPr="00AD5504" w14:paraId="3278EA30" w14:textId="77777777" w:rsidTr="00EB599C">
        <w:trPr>
          <w:gridAfter w:val="1"/>
          <w:wAfter w:w="6" w:type="dxa"/>
        </w:trPr>
        <w:tc>
          <w:tcPr>
            <w:tcW w:w="79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C18A3B" w14:textId="77777777" w:rsidR="00EB599C" w:rsidRPr="00AD5504" w:rsidRDefault="00EB599C" w:rsidP="00EB599C">
            <w:pPr>
              <w:spacing w:after="160" w:line="278" w:lineRule="auto"/>
            </w:pPr>
            <w:r w:rsidRPr="00AD5504">
              <w:t>No.</w:t>
            </w:r>
          </w:p>
        </w:tc>
        <w:tc>
          <w:tcPr>
            <w:tcW w:w="9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687665" w14:textId="14EA55A2" w:rsidR="00EB599C" w:rsidRPr="00AD5504" w:rsidRDefault="00EB599C" w:rsidP="00EB599C">
            <w:r>
              <w:t>Status</w:t>
            </w:r>
          </w:p>
        </w:tc>
        <w:tc>
          <w:tcPr>
            <w:tcW w:w="19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E0DE22" w14:textId="6415C661" w:rsidR="00EB599C" w:rsidRPr="00AD5504" w:rsidRDefault="00EB599C" w:rsidP="00EB599C">
            <w:pPr>
              <w:spacing w:after="160" w:line="278" w:lineRule="auto"/>
            </w:pPr>
            <w:r w:rsidRPr="00AD5504">
              <w:t>Case</w:t>
            </w:r>
          </w:p>
        </w:tc>
        <w:tc>
          <w:tcPr>
            <w:tcW w:w="15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B6C359" w14:textId="77777777" w:rsidR="00EB599C" w:rsidRPr="00AD5504" w:rsidRDefault="00EB599C" w:rsidP="00EB599C">
            <w:pPr>
              <w:spacing w:after="160" w:line="278" w:lineRule="auto"/>
            </w:pPr>
            <w:r w:rsidRPr="00AD5504">
              <w:t>Chapters</w:t>
            </w:r>
          </w:p>
        </w:tc>
        <w:tc>
          <w:tcPr>
            <w:tcW w:w="11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71170D" w14:textId="77777777" w:rsidR="00EB599C" w:rsidRPr="00AD5504" w:rsidRDefault="00EB599C" w:rsidP="00EB599C">
            <w:pPr>
              <w:spacing w:after="160" w:line="278" w:lineRule="auto"/>
            </w:pPr>
            <w:r w:rsidRPr="00AD5504">
              <w:t>Received</w:t>
            </w:r>
          </w:p>
        </w:tc>
        <w:tc>
          <w:tcPr>
            <w:tcW w:w="204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8E593E" w14:textId="77777777" w:rsidR="00EB599C" w:rsidRPr="00AD5504" w:rsidRDefault="00EB599C" w:rsidP="00EB599C">
            <w:pPr>
              <w:spacing w:after="160" w:line="278" w:lineRule="auto"/>
            </w:pPr>
            <w:r w:rsidRPr="00AD5504">
              <w:t>Outcome</w:t>
            </w:r>
          </w:p>
        </w:tc>
        <w:tc>
          <w:tcPr>
            <w:tcW w:w="654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025B64" w14:textId="77777777" w:rsidR="00EB599C" w:rsidRPr="00AD5504" w:rsidRDefault="00EB599C" w:rsidP="00EB599C">
            <w:pPr>
              <w:spacing w:after="160" w:line="278" w:lineRule="auto"/>
            </w:pPr>
            <w:r w:rsidRPr="00AD5504">
              <w:t xml:space="preserve">Summary of complaint </w:t>
            </w:r>
          </w:p>
        </w:tc>
      </w:tr>
      <w:tr w:rsidR="00EB599C" w14:paraId="3CE9B1FA" w14:textId="77777777" w:rsidTr="00EB599C">
        <w:trPr>
          <w:gridAfter w:val="1"/>
          <w:wAfter w:w="6" w:type="dxa"/>
        </w:trPr>
        <w:tc>
          <w:tcPr>
            <w:tcW w:w="799" w:type="dxa"/>
            <w:hideMark/>
          </w:tcPr>
          <w:p w14:paraId="7B5791DB" w14:textId="77777777" w:rsidR="00EB599C" w:rsidRDefault="00EB599C" w:rsidP="00EB599C">
            <w:r>
              <w:t>SI014</w:t>
            </w:r>
          </w:p>
        </w:tc>
        <w:tc>
          <w:tcPr>
            <w:tcW w:w="952" w:type="dxa"/>
          </w:tcPr>
          <w:p w14:paraId="547DF720" w14:textId="59CD050E" w:rsidR="00EB599C" w:rsidRDefault="00EB599C" w:rsidP="00EB599C">
            <w:r>
              <w:t>Closed</w:t>
            </w:r>
          </w:p>
        </w:tc>
        <w:tc>
          <w:tcPr>
            <w:tcW w:w="1924" w:type="dxa"/>
            <w:hideMark/>
          </w:tcPr>
          <w:p w14:paraId="6983844E" w14:textId="6C92BD88" w:rsidR="00EB599C" w:rsidRPr="00F11DF2" w:rsidRDefault="00EB599C" w:rsidP="00EB599C">
            <w:pPr>
              <w:rPr>
                <w:u w:val="single"/>
              </w:rPr>
            </w:pPr>
            <w:hyperlink r:id="rId6" w:history="1">
              <w:r w:rsidRPr="00F11DF2">
                <w:rPr>
                  <w:rStyle w:val="Hyperlink"/>
                  <w:color w:val="auto"/>
                </w:rPr>
                <w:t>SOUL v Fletchers Building</w:t>
              </w:r>
            </w:hyperlink>
          </w:p>
        </w:tc>
        <w:tc>
          <w:tcPr>
            <w:tcW w:w="1531" w:type="dxa"/>
            <w:shd w:val="clear" w:color="auto" w:fill="F2CEED" w:themeFill="accent5" w:themeFillTint="33"/>
            <w:hideMark/>
          </w:tcPr>
          <w:p w14:paraId="75778703" w14:textId="77777777" w:rsidR="00EB599C" w:rsidRDefault="00EB599C" w:rsidP="00EB599C">
            <w:r>
              <w:t>Human Rights</w:t>
            </w:r>
          </w:p>
        </w:tc>
        <w:tc>
          <w:tcPr>
            <w:tcW w:w="1165" w:type="dxa"/>
            <w:hideMark/>
          </w:tcPr>
          <w:p w14:paraId="058386C3" w14:textId="77777777" w:rsidR="00EB599C" w:rsidRDefault="00EB599C" w:rsidP="00EB599C">
            <w:r>
              <w:t>2019</w:t>
            </w:r>
          </w:p>
        </w:tc>
        <w:tc>
          <w:tcPr>
            <w:tcW w:w="2041" w:type="dxa"/>
            <w:hideMark/>
          </w:tcPr>
          <w:p w14:paraId="21D5A64E" w14:textId="77777777" w:rsidR="00EB599C" w:rsidRDefault="00EB599C" w:rsidP="00EB599C">
            <w:r>
              <w:t>Mediation offered – settled independently</w:t>
            </w:r>
          </w:p>
        </w:tc>
        <w:tc>
          <w:tcPr>
            <w:tcW w:w="6549" w:type="dxa"/>
            <w:hideMark/>
          </w:tcPr>
          <w:p w14:paraId="1C59D268" w14:textId="77777777" w:rsidR="00EB599C" w:rsidRDefault="00EB599C" w:rsidP="00EB599C">
            <w:r>
              <w:t xml:space="preserve">Alleged the purchase of land and active involvement in its rezoning contributed to historical injustices, intergenerational trauma and the contemporary impacts of forced confiscation, landlessness and poverty of mana whenua causing breaches to human rights under the OECD Guidelines and related UN human rights instruments covering indigenous peoples. Mediation was offered but not taken up by the parties. The parties pursued an alternate resolution. In December 2020, the Government announced an agreement had been reached on the future of the land at </w:t>
            </w:r>
            <w:proofErr w:type="spellStart"/>
            <w:r>
              <w:t>Ihumātao</w:t>
            </w:r>
            <w:proofErr w:type="spellEnd"/>
            <w:r>
              <w:t xml:space="preserve">. A Memorandum of Understanding (He </w:t>
            </w:r>
            <w:proofErr w:type="spellStart"/>
            <w:r>
              <w:t>Pūmautanga</w:t>
            </w:r>
            <w:proofErr w:type="spellEnd"/>
            <w:r>
              <w:t xml:space="preserve">) was signed by the Kīngitanga, the Crown and Auckland Council setting out how parties will work together to decide the future of the land. (Final statement </w:t>
            </w:r>
            <w:hyperlink r:id="rId7" w:history="1">
              <w:r>
                <w:rPr>
                  <w:rStyle w:val="Hyperlink"/>
                </w:rPr>
                <w:t>link here</w:t>
              </w:r>
            </w:hyperlink>
            <w:r>
              <w:t>)</w:t>
            </w:r>
          </w:p>
        </w:tc>
      </w:tr>
      <w:tr w:rsidR="00EB599C" w14:paraId="6C2EE9A6" w14:textId="77777777" w:rsidTr="00EB599C">
        <w:trPr>
          <w:gridAfter w:val="1"/>
          <w:wAfter w:w="6" w:type="dxa"/>
        </w:trPr>
        <w:tc>
          <w:tcPr>
            <w:tcW w:w="799" w:type="dxa"/>
            <w:tcBorders>
              <w:top w:val="single" w:sz="4" w:space="0" w:color="auto"/>
              <w:left w:val="single" w:sz="4" w:space="0" w:color="auto"/>
              <w:bottom w:val="single" w:sz="4" w:space="0" w:color="auto"/>
              <w:right w:val="single" w:sz="4" w:space="0" w:color="auto"/>
            </w:tcBorders>
          </w:tcPr>
          <w:p w14:paraId="1FB1F759" w14:textId="4D0722BA" w:rsidR="00EB599C" w:rsidRDefault="00EB599C" w:rsidP="00EB599C">
            <w:r>
              <w:t>SI013</w:t>
            </w:r>
          </w:p>
        </w:tc>
        <w:tc>
          <w:tcPr>
            <w:tcW w:w="952" w:type="dxa"/>
            <w:tcBorders>
              <w:top w:val="single" w:sz="4" w:space="0" w:color="auto"/>
              <w:left w:val="single" w:sz="4" w:space="0" w:color="auto"/>
              <w:bottom w:val="single" w:sz="4" w:space="0" w:color="auto"/>
              <w:right w:val="single" w:sz="4" w:space="0" w:color="auto"/>
            </w:tcBorders>
          </w:tcPr>
          <w:p w14:paraId="318361A8" w14:textId="40C131F1" w:rsidR="00EB599C" w:rsidRDefault="00EB599C" w:rsidP="00EB599C">
            <w:pPr>
              <w:pStyle w:val="Default"/>
              <w:rPr>
                <w:sz w:val="22"/>
                <w:szCs w:val="22"/>
              </w:rPr>
            </w:pPr>
            <w:r>
              <w:t>Closed</w:t>
            </w:r>
          </w:p>
        </w:tc>
        <w:tc>
          <w:tcPr>
            <w:tcW w:w="1924" w:type="dxa"/>
            <w:tcBorders>
              <w:top w:val="single" w:sz="4" w:space="0" w:color="auto"/>
              <w:left w:val="single" w:sz="4" w:space="0" w:color="auto"/>
              <w:bottom w:val="single" w:sz="4" w:space="0" w:color="auto"/>
              <w:right w:val="single" w:sz="4" w:space="0" w:color="auto"/>
            </w:tcBorders>
          </w:tcPr>
          <w:p w14:paraId="25CC131D" w14:textId="7F7E760A" w:rsidR="00EB599C" w:rsidRDefault="00EB599C" w:rsidP="00EB599C">
            <w:pPr>
              <w:pStyle w:val="Default"/>
            </w:pPr>
            <w:r>
              <w:rPr>
                <w:sz w:val="22"/>
                <w:szCs w:val="22"/>
              </w:rPr>
              <w:t xml:space="preserve">Mr &amp; Mrs P v MNE F </w:t>
            </w:r>
          </w:p>
          <w:p w14:paraId="096ACB55" w14:textId="77777777" w:rsidR="00EB599C" w:rsidRDefault="00EB599C" w:rsidP="00EB599C"/>
        </w:tc>
        <w:tc>
          <w:tcPr>
            <w:tcW w:w="153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1071F9E" w14:textId="2105F556" w:rsidR="00EB599C" w:rsidRDefault="00EB599C" w:rsidP="00EB599C">
            <w:r>
              <w:t>Human Rights</w:t>
            </w:r>
          </w:p>
        </w:tc>
        <w:tc>
          <w:tcPr>
            <w:tcW w:w="1165" w:type="dxa"/>
            <w:tcBorders>
              <w:top w:val="single" w:sz="4" w:space="0" w:color="auto"/>
              <w:left w:val="single" w:sz="4" w:space="0" w:color="auto"/>
              <w:bottom w:val="single" w:sz="4" w:space="0" w:color="auto"/>
              <w:right w:val="single" w:sz="4" w:space="0" w:color="auto"/>
            </w:tcBorders>
          </w:tcPr>
          <w:p w14:paraId="6954E2E3" w14:textId="7CA1A7C0" w:rsidR="00EB599C" w:rsidRDefault="00EB599C" w:rsidP="00EB599C">
            <w:r>
              <w:t>2016</w:t>
            </w:r>
          </w:p>
        </w:tc>
        <w:tc>
          <w:tcPr>
            <w:tcW w:w="204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78910D48" w14:textId="60AD63D7" w:rsidR="00EB599C" w:rsidRDefault="00EB599C" w:rsidP="00EB599C">
            <w:r>
              <w:t>Complaint not substantiated and/or no further action</w:t>
            </w:r>
          </w:p>
        </w:tc>
        <w:tc>
          <w:tcPr>
            <w:tcW w:w="6549" w:type="dxa"/>
            <w:tcBorders>
              <w:top w:val="single" w:sz="4" w:space="0" w:color="auto"/>
              <w:left w:val="single" w:sz="4" w:space="0" w:color="auto"/>
              <w:bottom w:val="single" w:sz="4" w:space="0" w:color="auto"/>
              <w:right w:val="single" w:sz="4" w:space="0" w:color="auto"/>
            </w:tcBorders>
          </w:tcPr>
          <w:p w14:paraId="76DC08F1" w14:textId="77777777" w:rsidR="00EB599C" w:rsidRDefault="00EB599C" w:rsidP="00EB599C">
            <w:r>
              <w:t xml:space="preserve">Alleged MNE F failed to be sufficiently involved in the work carried out by the contractor or to correct work resulting in breach of the OECD Guidelines to their rights to adequate housing, education, health and to an adequate standard of living. The NCP considered the </w:t>
            </w:r>
            <w:r>
              <w:rPr>
                <w:bCs/>
                <w:color w:val="000000"/>
                <w:lang w:bidi="en-US"/>
              </w:rPr>
              <w:t>context of the particular situation and nature of the business relationships that applied and what could be reasonably be expected of a party concerned.</w:t>
            </w:r>
            <w:r>
              <w:t xml:space="preserve"> The NCP noted that MNE F was in the process of developing a human rights policy. The NCP concluded that all the issues raised against MNE F had not been substantiated and/or did not merit further action under the Guidelines. </w:t>
            </w:r>
          </w:p>
          <w:p w14:paraId="6FB775CB" w14:textId="724FFD95" w:rsidR="00EB599C" w:rsidRDefault="00EB599C" w:rsidP="00EB599C">
            <w:r>
              <w:t xml:space="preserve">(Final statement </w:t>
            </w:r>
            <w:hyperlink r:id="rId8" w:history="1">
              <w:r>
                <w:rPr>
                  <w:rStyle w:val="Hyperlink"/>
                </w:rPr>
                <w:t>link here</w:t>
              </w:r>
            </w:hyperlink>
            <w:r>
              <w:t>).</w:t>
            </w:r>
          </w:p>
        </w:tc>
      </w:tr>
      <w:tr w:rsidR="00EB599C" w14:paraId="3D2A2653" w14:textId="77777777" w:rsidTr="00EB599C">
        <w:trPr>
          <w:gridAfter w:val="1"/>
          <w:wAfter w:w="6" w:type="dxa"/>
        </w:trPr>
        <w:tc>
          <w:tcPr>
            <w:tcW w:w="799" w:type="dxa"/>
            <w:tcBorders>
              <w:top w:val="single" w:sz="4" w:space="0" w:color="auto"/>
              <w:left w:val="single" w:sz="4" w:space="0" w:color="auto"/>
              <w:bottom w:val="single" w:sz="4" w:space="0" w:color="auto"/>
              <w:right w:val="single" w:sz="4" w:space="0" w:color="auto"/>
            </w:tcBorders>
          </w:tcPr>
          <w:p w14:paraId="664C3F86" w14:textId="61662824" w:rsidR="00EB599C" w:rsidRDefault="00EB599C" w:rsidP="00EB599C">
            <w:r>
              <w:t>SI012</w:t>
            </w:r>
          </w:p>
        </w:tc>
        <w:tc>
          <w:tcPr>
            <w:tcW w:w="952" w:type="dxa"/>
            <w:tcBorders>
              <w:top w:val="single" w:sz="4" w:space="0" w:color="auto"/>
              <w:left w:val="single" w:sz="4" w:space="0" w:color="auto"/>
              <w:bottom w:val="single" w:sz="4" w:space="0" w:color="auto"/>
              <w:right w:val="single" w:sz="4" w:space="0" w:color="auto"/>
            </w:tcBorders>
          </w:tcPr>
          <w:p w14:paraId="5AF71010" w14:textId="693CC6AA" w:rsidR="00EB599C" w:rsidRDefault="00EB599C" w:rsidP="00EB599C">
            <w:pPr>
              <w:pStyle w:val="Default"/>
              <w:rPr>
                <w:sz w:val="22"/>
                <w:szCs w:val="22"/>
              </w:rPr>
            </w:pPr>
            <w:r>
              <w:rPr>
                <w:sz w:val="22"/>
                <w:szCs w:val="22"/>
              </w:rPr>
              <w:t>Closed</w:t>
            </w:r>
          </w:p>
        </w:tc>
        <w:tc>
          <w:tcPr>
            <w:tcW w:w="1924" w:type="dxa"/>
            <w:tcBorders>
              <w:top w:val="single" w:sz="4" w:space="0" w:color="auto"/>
              <w:left w:val="single" w:sz="4" w:space="0" w:color="auto"/>
              <w:bottom w:val="single" w:sz="4" w:space="0" w:color="auto"/>
              <w:right w:val="single" w:sz="4" w:space="0" w:color="auto"/>
            </w:tcBorders>
          </w:tcPr>
          <w:p w14:paraId="271ECC9D" w14:textId="184645F9" w:rsidR="00EB599C" w:rsidRDefault="00EB599C" w:rsidP="00EB599C">
            <w:pPr>
              <w:pStyle w:val="Default"/>
            </w:pPr>
            <w:r>
              <w:rPr>
                <w:sz w:val="22"/>
                <w:szCs w:val="22"/>
              </w:rPr>
              <w:t xml:space="preserve">Ms N v MNE F  </w:t>
            </w:r>
          </w:p>
          <w:p w14:paraId="162DF7CF" w14:textId="77777777" w:rsidR="00EB599C" w:rsidRDefault="00EB599C" w:rsidP="00EB599C"/>
        </w:tc>
        <w:tc>
          <w:tcPr>
            <w:tcW w:w="153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C888AE6" w14:textId="639C6D36" w:rsidR="00EB599C" w:rsidRDefault="00EB599C" w:rsidP="00EB599C">
            <w:r>
              <w:t>Human Rights</w:t>
            </w:r>
          </w:p>
        </w:tc>
        <w:tc>
          <w:tcPr>
            <w:tcW w:w="1165" w:type="dxa"/>
            <w:tcBorders>
              <w:top w:val="single" w:sz="4" w:space="0" w:color="auto"/>
              <w:left w:val="single" w:sz="4" w:space="0" w:color="auto"/>
              <w:bottom w:val="single" w:sz="4" w:space="0" w:color="auto"/>
              <w:right w:val="single" w:sz="4" w:space="0" w:color="auto"/>
            </w:tcBorders>
          </w:tcPr>
          <w:p w14:paraId="1D459D6E" w14:textId="0316AA14" w:rsidR="00EB599C" w:rsidRDefault="00EB599C" w:rsidP="00EB599C">
            <w:r>
              <w:t>2015</w:t>
            </w:r>
          </w:p>
        </w:tc>
        <w:tc>
          <w:tcPr>
            <w:tcW w:w="204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12B552D1" w14:textId="1787859A" w:rsidR="00EB599C" w:rsidRDefault="00EB599C" w:rsidP="00EB599C">
            <w:r>
              <w:t>Complaint not substantiated and/or no further action</w:t>
            </w:r>
          </w:p>
        </w:tc>
        <w:tc>
          <w:tcPr>
            <w:tcW w:w="6549" w:type="dxa"/>
            <w:tcBorders>
              <w:top w:val="single" w:sz="4" w:space="0" w:color="auto"/>
              <w:left w:val="single" w:sz="4" w:space="0" w:color="auto"/>
              <w:bottom w:val="single" w:sz="4" w:space="0" w:color="auto"/>
              <w:right w:val="single" w:sz="4" w:space="0" w:color="auto"/>
            </w:tcBorders>
          </w:tcPr>
          <w:p w14:paraId="5136C4D6" w14:textId="0C93693E" w:rsidR="00EB599C" w:rsidRDefault="00EB599C" w:rsidP="00EB599C">
            <w:r>
              <w:t xml:space="preserve">Alleged inadequate repair strategy and project management of house repairs by MNE F (including those of EQC’s contractor) caused or contributed to adverse human rights impacts on the complainant. MNE F did not act to anticipate, prevent or mitigate them and therefore was in breach of the OECD Guidelines. The NCP considered the </w:t>
            </w:r>
            <w:r>
              <w:rPr>
                <w:bCs/>
                <w:color w:val="000000"/>
                <w:lang w:bidi="en-US"/>
              </w:rPr>
              <w:t xml:space="preserve">context of the </w:t>
            </w:r>
            <w:r>
              <w:rPr>
                <w:bCs/>
                <w:color w:val="000000"/>
                <w:lang w:bidi="en-US"/>
              </w:rPr>
              <w:lastRenderedPageBreak/>
              <w:t xml:space="preserve">particular situation and nature of the business relationships that applied and what could be reasonably be expected of a party concerned. </w:t>
            </w:r>
            <w:r>
              <w:t xml:space="preserve">The NCP concluded that all the issues raised against MNE F had not been substantiated and/or did not merit further action under the Guidelines. This was due to insufficient information, consideration of the </w:t>
            </w:r>
            <w:r>
              <w:rPr>
                <w:bCs/>
                <w:color w:val="000000"/>
                <w:lang w:bidi="en-US"/>
              </w:rPr>
              <w:t>context of the particular situation</w:t>
            </w:r>
            <w:r>
              <w:t xml:space="preserve">, and MNE F actively developing human rights policy. (Final statement </w:t>
            </w:r>
            <w:hyperlink r:id="rId9" w:history="1">
              <w:r>
                <w:rPr>
                  <w:rStyle w:val="Hyperlink"/>
                </w:rPr>
                <w:t>link here</w:t>
              </w:r>
            </w:hyperlink>
            <w:r>
              <w:t>).</w:t>
            </w:r>
          </w:p>
        </w:tc>
      </w:tr>
      <w:tr w:rsidR="00EB599C" w14:paraId="70832BBE" w14:textId="77777777" w:rsidTr="00EB599C">
        <w:trPr>
          <w:gridAfter w:val="1"/>
          <w:wAfter w:w="6" w:type="dxa"/>
        </w:trPr>
        <w:tc>
          <w:tcPr>
            <w:tcW w:w="799" w:type="dxa"/>
            <w:tcBorders>
              <w:top w:val="single" w:sz="4" w:space="0" w:color="auto"/>
              <w:left w:val="single" w:sz="4" w:space="0" w:color="auto"/>
              <w:bottom w:val="single" w:sz="4" w:space="0" w:color="auto"/>
              <w:right w:val="single" w:sz="4" w:space="0" w:color="auto"/>
            </w:tcBorders>
          </w:tcPr>
          <w:p w14:paraId="61DD1B37" w14:textId="0BCB81C3" w:rsidR="00EB599C" w:rsidRDefault="00EB599C" w:rsidP="00EB599C">
            <w:r>
              <w:lastRenderedPageBreak/>
              <w:t>SI011</w:t>
            </w:r>
          </w:p>
        </w:tc>
        <w:tc>
          <w:tcPr>
            <w:tcW w:w="952" w:type="dxa"/>
            <w:tcBorders>
              <w:top w:val="single" w:sz="4" w:space="0" w:color="auto"/>
              <w:left w:val="single" w:sz="4" w:space="0" w:color="auto"/>
              <w:bottom w:val="single" w:sz="4" w:space="0" w:color="auto"/>
              <w:right w:val="single" w:sz="4" w:space="0" w:color="auto"/>
            </w:tcBorders>
          </w:tcPr>
          <w:p w14:paraId="75B88CA1" w14:textId="6B693EEA" w:rsidR="00EB599C" w:rsidRDefault="00EB599C" w:rsidP="00EB599C">
            <w:pPr>
              <w:pStyle w:val="Default"/>
              <w:rPr>
                <w:sz w:val="22"/>
                <w:szCs w:val="22"/>
              </w:rPr>
            </w:pPr>
            <w:r>
              <w:rPr>
                <w:sz w:val="22"/>
                <w:szCs w:val="22"/>
              </w:rPr>
              <w:t>Closed</w:t>
            </w:r>
          </w:p>
        </w:tc>
        <w:tc>
          <w:tcPr>
            <w:tcW w:w="1924" w:type="dxa"/>
            <w:tcBorders>
              <w:top w:val="single" w:sz="4" w:space="0" w:color="auto"/>
              <w:left w:val="single" w:sz="4" w:space="0" w:color="auto"/>
              <w:bottom w:val="single" w:sz="4" w:space="0" w:color="auto"/>
              <w:right w:val="single" w:sz="4" w:space="0" w:color="auto"/>
            </w:tcBorders>
          </w:tcPr>
          <w:p w14:paraId="193DD36F" w14:textId="53300EE7" w:rsidR="00EB599C" w:rsidRDefault="00EB599C" w:rsidP="00EB599C">
            <w:pPr>
              <w:pStyle w:val="Default"/>
            </w:pPr>
            <w:r>
              <w:rPr>
                <w:sz w:val="22"/>
                <w:szCs w:val="22"/>
              </w:rPr>
              <w:t>Mr &amp; Mrs T v MNE F</w:t>
            </w:r>
          </w:p>
          <w:p w14:paraId="7A69F880" w14:textId="77777777" w:rsidR="00EB599C" w:rsidRDefault="00EB599C" w:rsidP="00EB599C"/>
        </w:tc>
        <w:tc>
          <w:tcPr>
            <w:tcW w:w="153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E6F3971" w14:textId="73E508A3" w:rsidR="00EB599C" w:rsidRDefault="00EB599C" w:rsidP="00EB599C">
            <w:r>
              <w:t>Human Rights</w:t>
            </w:r>
          </w:p>
        </w:tc>
        <w:tc>
          <w:tcPr>
            <w:tcW w:w="1165" w:type="dxa"/>
            <w:tcBorders>
              <w:top w:val="single" w:sz="4" w:space="0" w:color="auto"/>
              <w:left w:val="single" w:sz="4" w:space="0" w:color="auto"/>
              <w:bottom w:val="single" w:sz="4" w:space="0" w:color="auto"/>
              <w:right w:val="single" w:sz="4" w:space="0" w:color="auto"/>
            </w:tcBorders>
          </w:tcPr>
          <w:p w14:paraId="1BFB701B" w14:textId="348941B6" w:rsidR="00EB599C" w:rsidRDefault="00EB599C" w:rsidP="00EB599C">
            <w:r>
              <w:t>2015</w:t>
            </w:r>
          </w:p>
        </w:tc>
        <w:tc>
          <w:tcPr>
            <w:tcW w:w="2041"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18087D4C" w14:textId="6EEF3993" w:rsidR="00EB599C" w:rsidRDefault="00EB599C" w:rsidP="00EB599C">
            <w:r>
              <w:t>Mediation offered - Abandoned</w:t>
            </w:r>
          </w:p>
        </w:tc>
        <w:tc>
          <w:tcPr>
            <w:tcW w:w="6549" w:type="dxa"/>
            <w:tcBorders>
              <w:top w:val="single" w:sz="4" w:space="0" w:color="auto"/>
              <w:left w:val="single" w:sz="4" w:space="0" w:color="auto"/>
              <w:bottom w:val="single" w:sz="4" w:space="0" w:color="auto"/>
              <w:right w:val="single" w:sz="4" w:space="0" w:color="auto"/>
            </w:tcBorders>
          </w:tcPr>
          <w:p w14:paraId="18BB9D03" w14:textId="185F195F" w:rsidR="00EB599C" w:rsidRDefault="00EB599C" w:rsidP="00EB599C">
            <w:r>
              <w:t xml:space="preserve">MNE F’s management of the complainant’s repairs (including the actions of contractors) was alleged to have caused or contributed to adverse human rights impacts on the complainant. The NCP considered that most of the issues raised in the T’ specific instance complaint, alleging breaches of their human rights by MNE F pursuant to the Guidelines, have not been substantiated and merit further examination. On the issue raised by the Mr &amp; Mrs </w:t>
            </w:r>
            <w:proofErr w:type="spellStart"/>
            <w:r>
              <w:t>T on</w:t>
            </w:r>
            <w:proofErr w:type="spellEnd"/>
            <w:r>
              <w:t xml:space="preserve"> failure by MNE F to obtain asbestos checks on the property and the lack of a specific human rights policy, the NCP considered it could usefully engage. The NCP offered mediation on the issue of failing to obtain asbestos checks on the property. The NCP did not receive communications from either party involved in the specific instance for some time following the offer of good offices and concluded this specific instance due to the parties being unresponsive. (Final statement </w:t>
            </w:r>
            <w:hyperlink r:id="rId10" w:history="1">
              <w:r>
                <w:rPr>
                  <w:rStyle w:val="Hyperlink"/>
                </w:rPr>
                <w:t>link here</w:t>
              </w:r>
            </w:hyperlink>
            <w:r>
              <w:t>)</w:t>
            </w:r>
          </w:p>
        </w:tc>
      </w:tr>
      <w:tr w:rsidR="00EB599C" w14:paraId="75622404" w14:textId="77777777" w:rsidTr="00EB599C">
        <w:trPr>
          <w:gridAfter w:val="1"/>
          <w:wAfter w:w="6" w:type="dxa"/>
        </w:trPr>
        <w:tc>
          <w:tcPr>
            <w:tcW w:w="799" w:type="dxa"/>
            <w:tcBorders>
              <w:top w:val="single" w:sz="4" w:space="0" w:color="auto"/>
              <w:left w:val="single" w:sz="4" w:space="0" w:color="auto"/>
              <w:bottom w:val="single" w:sz="4" w:space="0" w:color="auto"/>
              <w:right w:val="single" w:sz="4" w:space="0" w:color="auto"/>
            </w:tcBorders>
          </w:tcPr>
          <w:p w14:paraId="24C05776" w14:textId="20427970" w:rsidR="00EB599C" w:rsidRDefault="00EB599C" w:rsidP="00EB599C">
            <w:r>
              <w:t>SI010</w:t>
            </w:r>
          </w:p>
        </w:tc>
        <w:tc>
          <w:tcPr>
            <w:tcW w:w="952" w:type="dxa"/>
            <w:tcBorders>
              <w:top w:val="single" w:sz="4" w:space="0" w:color="auto"/>
              <w:left w:val="single" w:sz="4" w:space="0" w:color="auto"/>
              <w:bottom w:val="single" w:sz="4" w:space="0" w:color="auto"/>
              <w:right w:val="single" w:sz="4" w:space="0" w:color="auto"/>
            </w:tcBorders>
          </w:tcPr>
          <w:p w14:paraId="1C01DFE9" w14:textId="5F72F22E" w:rsidR="00EB599C" w:rsidRDefault="00EB599C" w:rsidP="00EB599C">
            <w:pPr>
              <w:pStyle w:val="Default"/>
              <w:rPr>
                <w:sz w:val="22"/>
                <w:szCs w:val="22"/>
              </w:rPr>
            </w:pPr>
            <w:r>
              <w:rPr>
                <w:sz w:val="22"/>
                <w:szCs w:val="22"/>
              </w:rPr>
              <w:t>Closed</w:t>
            </w:r>
          </w:p>
        </w:tc>
        <w:tc>
          <w:tcPr>
            <w:tcW w:w="1924" w:type="dxa"/>
            <w:tcBorders>
              <w:top w:val="single" w:sz="4" w:space="0" w:color="auto"/>
              <w:left w:val="single" w:sz="4" w:space="0" w:color="auto"/>
              <w:bottom w:val="single" w:sz="4" w:space="0" w:color="auto"/>
              <w:right w:val="single" w:sz="4" w:space="0" w:color="auto"/>
            </w:tcBorders>
          </w:tcPr>
          <w:p w14:paraId="31397164" w14:textId="43F7FF17" w:rsidR="00EB599C" w:rsidRDefault="00EB599C" w:rsidP="00EB599C">
            <w:pPr>
              <w:pStyle w:val="Default"/>
            </w:pPr>
            <w:r>
              <w:rPr>
                <w:sz w:val="22"/>
                <w:szCs w:val="22"/>
              </w:rPr>
              <w:t xml:space="preserve">Ms C v MNE I </w:t>
            </w:r>
          </w:p>
          <w:p w14:paraId="01E80776" w14:textId="77777777" w:rsidR="00EB599C" w:rsidRDefault="00EB599C" w:rsidP="00EB599C"/>
        </w:tc>
        <w:tc>
          <w:tcPr>
            <w:tcW w:w="153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D72F92F" w14:textId="03BFC98C" w:rsidR="00EB599C" w:rsidRDefault="00EB599C" w:rsidP="00EB599C">
            <w:r>
              <w:t xml:space="preserve">Human </w:t>
            </w:r>
            <w:r>
              <w:rPr>
                <w:shd w:val="clear" w:color="auto" w:fill="F2CEED" w:themeFill="accent5" w:themeFillTint="33"/>
              </w:rPr>
              <w:t>Rights</w:t>
            </w:r>
          </w:p>
        </w:tc>
        <w:tc>
          <w:tcPr>
            <w:tcW w:w="1165" w:type="dxa"/>
            <w:tcBorders>
              <w:top w:val="single" w:sz="4" w:space="0" w:color="auto"/>
              <w:left w:val="single" w:sz="4" w:space="0" w:color="auto"/>
              <w:bottom w:val="single" w:sz="4" w:space="0" w:color="auto"/>
              <w:right w:val="single" w:sz="4" w:space="0" w:color="auto"/>
            </w:tcBorders>
          </w:tcPr>
          <w:p w14:paraId="7ECE4635" w14:textId="6FA3A685" w:rsidR="00EB599C" w:rsidRDefault="00EB599C" w:rsidP="00EB599C">
            <w:r>
              <w:t>2015</w:t>
            </w:r>
          </w:p>
        </w:tc>
        <w:tc>
          <w:tcPr>
            <w:tcW w:w="204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4A6850B2" w14:textId="74383207" w:rsidR="00EB599C" w:rsidRDefault="00EB599C" w:rsidP="00EB599C">
            <w:r>
              <w:t xml:space="preserve">Complaint not substantiated and/or no further action </w:t>
            </w:r>
          </w:p>
        </w:tc>
        <w:tc>
          <w:tcPr>
            <w:tcW w:w="6549" w:type="dxa"/>
            <w:tcBorders>
              <w:top w:val="single" w:sz="4" w:space="0" w:color="auto"/>
              <w:left w:val="single" w:sz="4" w:space="0" w:color="auto"/>
              <w:bottom w:val="single" w:sz="4" w:space="0" w:color="auto"/>
              <w:right w:val="single" w:sz="4" w:space="0" w:color="auto"/>
            </w:tcBorders>
          </w:tcPr>
          <w:p w14:paraId="2AE41E2C" w14:textId="77777777" w:rsidR="00EB599C" w:rsidRDefault="00EB599C" w:rsidP="00EB599C">
            <w:r>
              <w:t xml:space="preserve">Alleged long delays and inadequate investigations and repair strategies by MNE I and its handling of an insurance claim for damage to the complainant’s property had caused or contributed to adverse human rights impacts on the. </w:t>
            </w:r>
          </w:p>
          <w:p w14:paraId="1EEC96CE" w14:textId="0E392853" w:rsidR="00EB599C" w:rsidRDefault="00EB599C" w:rsidP="00EB599C">
            <w:r>
              <w:t xml:space="preserve">The NCP concluded that all the issues raised against MNE I had not been substantiated and/or did not merit further action under the Guidelines. This is due to some issues being resolved during the initial assessment and claims being investigated in a timely manner within context, and the absence of a business relationship with EQC, a crown entity. Also, the NCP considered that timeliness as an obligation </w:t>
            </w:r>
            <w:r>
              <w:lastRenderedPageBreak/>
              <w:t xml:space="preserve">must be seen in the context of the particular situation and what can reasonably be expected of a party. (Final statement </w:t>
            </w:r>
            <w:hyperlink r:id="rId11" w:history="1">
              <w:r>
                <w:rPr>
                  <w:rStyle w:val="Hyperlink"/>
                </w:rPr>
                <w:t>link here</w:t>
              </w:r>
            </w:hyperlink>
            <w:r>
              <w:t>)</w:t>
            </w:r>
          </w:p>
        </w:tc>
      </w:tr>
      <w:tr w:rsidR="00EB599C" w14:paraId="6B008EED" w14:textId="77777777" w:rsidTr="00EB599C">
        <w:trPr>
          <w:gridAfter w:val="1"/>
          <w:wAfter w:w="6" w:type="dxa"/>
        </w:trPr>
        <w:tc>
          <w:tcPr>
            <w:tcW w:w="799" w:type="dxa"/>
            <w:tcBorders>
              <w:top w:val="single" w:sz="4" w:space="0" w:color="auto"/>
              <w:left w:val="single" w:sz="4" w:space="0" w:color="auto"/>
              <w:bottom w:val="single" w:sz="4" w:space="0" w:color="auto"/>
              <w:right w:val="single" w:sz="4" w:space="0" w:color="auto"/>
            </w:tcBorders>
          </w:tcPr>
          <w:p w14:paraId="2AA4A84E" w14:textId="64B3C0F8" w:rsidR="00EB599C" w:rsidRDefault="00EB599C" w:rsidP="00EB599C">
            <w:r>
              <w:lastRenderedPageBreak/>
              <w:t>SI009</w:t>
            </w:r>
          </w:p>
        </w:tc>
        <w:tc>
          <w:tcPr>
            <w:tcW w:w="952" w:type="dxa"/>
            <w:tcBorders>
              <w:top w:val="single" w:sz="4" w:space="0" w:color="auto"/>
              <w:left w:val="single" w:sz="4" w:space="0" w:color="auto"/>
              <w:bottom w:val="single" w:sz="4" w:space="0" w:color="auto"/>
              <w:right w:val="single" w:sz="4" w:space="0" w:color="auto"/>
            </w:tcBorders>
          </w:tcPr>
          <w:p w14:paraId="5122E370" w14:textId="247DD372" w:rsidR="00EB599C" w:rsidRDefault="00EB599C" w:rsidP="00EB599C">
            <w:pPr>
              <w:pStyle w:val="Default"/>
              <w:rPr>
                <w:sz w:val="22"/>
                <w:szCs w:val="22"/>
              </w:rPr>
            </w:pPr>
            <w:r>
              <w:rPr>
                <w:sz w:val="22"/>
                <w:szCs w:val="22"/>
              </w:rPr>
              <w:t>Closed</w:t>
            </w:r>
          </w:p>
        </w:tc>
        <w:tc>
          <w:tcPr>
            <w:tcW w:w="1924" w:type="dxa"/>
            <w:tcBorders>
              <w:top w:val="single" w:sz="4" w:space="0" w:color="auto"/>
              <w:left w:val="single" w:sz="4" w:space="0" w:color="auto"/>
              <w:bottom w:val="single" w:sz="4" w:space="0" w:color="auto"/>
              <w:right w:val="single" w:sz="4" w:space="0" w:color="auto"/>
            </w:tcBorders>
          </w:tcPr>
          <w:p w14:paraId="5EFEE1D4" w14:textId="0EF7BD39" w:rsidR="00EB599C" w:rsidRDefault="00EB599C" w:rsidP="00EB599C">
            <w:pPr>
              <w:pStyle w:val="Default"/>
            </w:pPr>
            <w:r>
              <w:rPr>
                <w:sz w:val="22"/>
                <w:szCs w:val="22"/>
              </w:rPr>
              <w:t xml:space="preserve">Mr C v MNE A </w:t>
            </w:r>
          </w:p>
          <w:p w14:paraId="09D97F5F" w14:textId="77777777" w:rsidR="00EB599C" w:rsidRDefault="00EB599C" w:rsidP="00EB599C"/>
        </w:tc>
        <w:tc>
          <w:tcPr>
            <w:tcW w:w="153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7F81A7A" w14:textId="732A65E4" w:rsidR="00EB599C" w:rsidRDefault="00EB599C" w:rsidP="00EB599C">
            <w:r>
              <w:t>Human Rights</w:t>
            </w:r>
          </w:p>
        </w:tc>
        <w:tc>
          <w:tcPr>
            <w:tcW w:w="1165" w:type="dxa"/>
            <w:tcBorders>
              <w:top w:val="single" w:sz="4" w:space="0" w:color="auto"/>
              <w:left w:val="single" w:sz="4" w:space="0" w:color="auto"/>
              <w:bottom w:val="single" w:sz="4" w:space="0" w:color="auto"/>
              <w:right w:val="single" w:sz="4" w:space="0" w:color="auto"/>
            </w:tcBorders>
          </w:tcPr>
          <w:p w14:paraId="041CB8A7" w14:textId="3C93E0E7" w:rsidR="00EB599C" w:rsidRDefault="00EB599C" w:rsidP="00EB599C">
            <w:r>
              <w:t>2015</w:t>
            </w:r>
          </w:p>
        </w:tc>
        <w:tc>
          <w:tcPr>
            <w:tcW w:w="204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5CE49BBC" w14:textId="1027C82D" w:rsidR="00EB599C" w:rsidRDefault="00EB599C" w:rsidP="00EB599C">
            <w:r>
              <w:t xml:space="preserve">Complaint not substantiated and no further action </w:t>
            </w:r>
          </w:p>
        </w:tc>
        <w:tc>
          <w:tcPr>
            <w:tcW w:w="6549" w:type="dxa"/>
            <w:tcBorders>
              <w:top w:val="single" w:sz="4" w:space="0" w:color="auto"/>
              <w:left w:val="single" w:sz="4" w:space="0" w:color="auto"/>
              <w:bottom w:val="single" w:sz="4" w:space="0" w:color="auto"/>
              <w:right w:val="single" w:sz="4" w:space="0" w:color="auto"/>
            </w:tcBorders>
          </w:tcPr>
          <w:p w14:paraId="4937568F" w14:textId="41CC9F7D" w:rsidR="00EB599C" w:rsidRDefault="00EB599C" w:rsidP="00EB599C">
            <w:r>
              <w:t xml:space="preserve">Alleged actions and inaction by MNE A impacted the complainant’s rights to health, the right to respect of privacy, family, home and correspondence, and protection of honour and reputation. The complainant had many serious health concerns and was vulnerable. The NCP concluded that all the issues raised against MNE A had not been substantiated and did not merit further action under the Guidelines. This was due to the impact of external factors on MNE A’s ability to undertake timely and adequate action, and aspects of the complaint being beyond the scope of the Guidelines or not substantiated. The NCP considered that its further involvement would not contribute to the effectiveness of the Guidelines. (Final statement </w:t>
            </w:r>
            <w:hyperlink r:id="rId12" w:history="1">
              <w:r>
                <w:rPr>
                  <w:rStyle w:val="Hyperlink"/>
                </w:rPr>
                <w:t>link here</w:t>
              </w:r>
            </w:hyperlink>
            <w:r>
              <w:t>)</w:t>
            </w:r>
          </w:p>
        </w:tc>
      </w:tr>
      <w:tr w:rsidR="00EB599C" w14:paraId="2209D9A4" w14:textId="77777777" w:rsidTr="00EB599C">
        <w:trPr>
          <w:gridAfter w:val="1"/>
          <w:wAfter w:w="6" w:type="dxa"/>
        </w:trPr>
        <w:tc>
          <w:tcPr>
            <w:tcW w:w="799" w:type="dxa"/>
            <w:tcBorders>
              <w:top w:val="single" w:sz="4" w:space="0" w:color="auto"/>
              <w:left w:val="single" w:sz="4" w:space="0" w:color="auto"/>
              <w:bottom w:val="single" w:sz="4" w:space="0" w:color="auto"/>
              <w:right w:val="single" w:sz="4" w:space="0" w:color="auto"/>
            </w:tcBorders>
          </w:tcPr>
          <w:p w14:paraId="64BD0A4F" w14:textId="065ED8CA" w:rsidR="00EB599C" w:rsidRDefault="00EB599C" w:rsidP="00EB599C">
            <w:r>
              <w:t>SI008</w:t>
            </w:r>
          </w:p>
        </w:tc>
        <w:tc>
          <w:tcPr>
            <w:tcW w:w="952" w:type="dxa"/>
            <w:tcBorders>
              <w:top w:val="single" w:sz="4" w:space="0" w:color="auto"/>
              <w:left w:val="single" w:sz="4" w:space="0" w:color="auto"/>
              <w:bottom w:val="single" w:sz="4" w:space="0" w:color="auto"/>
              <w:right w:val="single" w:sz="4" w:space="0" w:color="auto"/>
            </w:tcBorders>
          </w:tcPr>
          <w:p w14:paraId="2C3A153F" w14:textId="24A76067" w:rsidR="00EB599C" w:rsidRDefault="00EB599C" w:rsidP="00EB599C">
            <w:pPr>
              <w:pStyle w:val="Default"/>
              <w:rPr>
                <w:sz w:val="22"/>
                <w:szCs w:val="22"/>
              </w:rPr>
            </w:pPr>
            <w:r>
              <w:rPr>
                <w:sz w:val="22"/>
                <w:szCs w:val="22"/>
              </w:rPr>
              <w:t>Closed</w:t>
            </w:r>
          </w:p>
        </w:tc>
        <w:tc>
          <w:tcPr>
            <w:tcW w:w="1924" w:type="dxa"/>
            <w:tcBorders>
              <w:top w:val="single" w:sz="4" w:space="0" w:color="auto"/>
              <w:left w:val="single" w:sz="4" w:space="0" w:color="auto"/>
              <w:bottom w:val="single" w:sz="4" w:space="0" w:color="auto"/>
              <w:right w:val="single" w:sz="4" w:space="0" w:color="auto"/>
            </w:tcBorders>
          </w:tcPr>
          <w:p w14:paraId="7FAF761A" w14:textId="427C0E36" w:rsidR="00EB599C" w:rsidRDefault="00EB599C" w:rsidP="00EB599C">
            <w:pPr>
              <w:pStyle w:val="Default"/>
            </w:pPr>
            <w:r>
              <w:rPr>
                <w:sz w:val="22"/>
                <w:szCs w:val="22"/>
              </w:rPr>
              <w:t xml:space="preserve">Mr &amp; Mrs G V MNE I </w:t>
            </w:r>
          </w:p>
          <w:p w14:paraId="43415370" w14:textId="77777777" w:rsidR="00EB599C" w:rsidRDefault="00EB599C" w:rsidP="00EB599C"/>
        </w:tc>
        <w:tc>
          <w:tcPr>
            <w:tcW w:w="153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C2AC841" w14:textId="0952B08B" w:rsidR="00EB599C" w:rsidRDefault="00EB599C" w:rsidP="00EB599C">
            <w:r>
              <w:t>Human Rights</w:t>
            </w:r>
          </w:p>
        </w:tc>
        <w:tc>
          <w:tcPr>
            <w:tcW w:w="1165" w:type="dxa"/>
            <w:tcBorders>
              <w:top w:val="single" w:sz="4" w:space="0" w:color="auto"/>
              <w:left w:val="single" w:sz="4" w:space="0" w:color="auto"/>
              <w:bottom w:val="single" w:sz="4" w:space="0" w:color="auto"/>
              <w:right w:val="single" w:sz="4" w:space="0" w:color="auto"/>
            </w:tcBorders>
          </w:tcPr>
          <w:p w14:paraId="505133EA" w14:textId="444B89F4" w:rsidR="00EB599C" w:rsidRDefault="00EB599C" w:rsidP="00EB599C">
            <w:r>
              <w:t>2015</w:t>
            </w:r>
          </w:p>
        </w:tc>
        <w:tc>
          <w:tcPr>
            <w:tcW w:w="204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56416ABA" w14:textId="20F83E18" w:rsidR="00EB599C" w:rsidRDefault="00EB599C" w:rsidP="00EB599C">
            <w:r>
              <w:t>Complaint not substantiated and no further action</w:t>
            </w:r>
          </w:p>
        </w:tc>
        <w:tc>
          <w:tcPr>
            <w:tcW w:w="6549" w:type="dxa"/>
            <w:tcBorders>
              <w:top w:val="single" w:sz="4" w:space="0" w:color="auto"/>
              <w:left w:val="single" w:sz="4" w:space="0" w:color="auto"/>
              <w:bottom w:val="single" w:sz="4" w:space="0" w:color="auto"/>
              <w:right w:val="single" w:sz="4" w:space="0" w:color="auto"/>
            </w:tcBorders>
          </w:tcPr>
          <w:p w14:paraId="26A84FCB" w14:textId="6E72DA22" w:rsidR="00EB599C" w:rsidRDefault="00EB599C" w:rsidP="00EB599C">
            <w:r>
              <w:t xml:space="preserve">Alleged failure by MNE I to conduct adequate and timely damage assessments, formulate appropriate repair strategies or to communicate adequately, and mitigate the actions of EQC, had negatively impacted the complainant’s rights to health, housing and livelihood. In doing so, the MNE I was alleged to have been in breach of the Guidelines. The NCP concluded that all issues raised had not been substantiated and did not merit further action under the Guidelines. This was due to the impact of external factors on MNE I’s ability to undertake timely and adequate action, insufficient information and the absence of MNE I having a business relationship with EQC, a crown entity. (Final statement </w:t>
            </w:r>
            <w:hyperlink r:id="rId13" w:history="1">
              <w:r>
                <w:rPr>
                  <w:rStyle w:val="Hyperlink"/>
                </w:rPr>
                <w:t>link here</w:t>
              </w:r>
            </w:hyperlink>
            <w:r>
              <w:t>)</w:t>
            </w:r>
          </w:p>
        </w:tc>
      </w:tr>
      <w:tr w:rsidR="00EB599C" w14:paraId="4A72918E" w14:textId="77777777" w:rsidTr="00EB599C">
        <w:trPr>
          <w:gridAfter w:val="1"/>
          <w:wAfter w:w="6" w:type="dxa"/>
        </w:trPr>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Pr>
          <w:p w14:paraId="1259A9AC" w14:textId="6AD2B41A" w:rsidR="00EB599C" w:rsidRDefault="00EB599C" w:rsidP="00EB599C">
            <w:r>
              <w:t>SI007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14:paraId="02CCE4A0" w14:textId="1B4FF445" w:rsidR="00EB599C" w:rsidRDefault="00EB599C" w:rsidP="00EB599C">
            <w:pPr>
              <w:pStyle w:val="Default"/>
              <w:rPr>
                <w:sz w:val="22"/>
                <w:szCs w:val="22"/>
              </w:rPr>
            </w:pPr>
            <w:r>
              <w:rPr>
                <w:sz w:val="22"/>
                <w:szCs w:val="22"/>
              </w:rPr>
              <w:t>Closed</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tcPr>
          <w:p w14:paraId="30542DB3" w14:textId="4B4DCD61" w:rsidR="00EB599C" w:rsidRDefault="00EB599C" w:rsidP="00EB599C">
            <w:pPr>
              <w:pStyle w:val="Default"/>
            </w:pPr>
            <w:r>
              <w:rPr>
                <w:sz w:val="22"/>
                <w:szCs w:val="22"/>
              </w:rPr>
              <w:t>Mr and Mrs C v. Southern Response -NZ Permanent Trustees Ltd</w:t>
            </w:r>
          </w:p>
          <w:p w14:paraId="14CEF657" w14:textId="77777777" w:rsidR="00EB599C" w:rsidRDefault="00EB599C" w:rsidP="00EB599C"/>
        </w:tc>
        <w:tc>
          <w:tcPr>
            <w:tcW w:w="153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2CD2CB0" w14:textId="286A075E" w:rsidR="00EB599C" w:rsidRDefault="00EB599C" w:rsidP="00EB599C">
            <w:r>
              <w:t>Human Rights</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743847E8" w14:textId="06A964BD" w:rsidR="00EB599C" w:rsidRDefault="00EB599C" w:rsidP="00EB599C">
            <w:r>
              <w:t>2015</w:t>
            </w:r>
          </w:p>
        </w:tc>
        <w:tc>
          <w:tcPr>
            <w:tcW w:w="204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2E2B85AB" w14:textId="2B8A53FE" w:rsidR="00EB599C" w:rsidRDefault="00EB599C" w:rsidP="00EB599C">
            <w:r>
              <w:t>Complaint out of scope</w:t>
            </w:r>
          </w:p>
        </w:tc>
        <w:tc>
          <w:tcPr>
            <w:tcW w:w="6549" w:type="dxa"/>
            <w:tcBorders>
              <w:top w:val="single" w:sz="4" w:space="0" w:color="auto"/>
              <w:left w:val="single" w:sz="4" w:space="0" w:color="auto"/>
              <w:bottom w:val="single" w:sz="4" w:space="0" w:color="auto"/>
              <w:right w:val="single" w:sz="4" w:space="0" w:color="auto"/>
            </w:tcBorders>
            <w:shd w:val="clear" w:color="auto" w:fill="FFFFFF" w:themeFill="background1"/>
          </w:tcPr>
          <w:p w14:paraId="56B3CAA9" w14:textId="07B0C657" w:rsidR="00EB599C" w:rsidRDefault="00EB599C" w:rsidP="00EB599C">
            <w:r>
              <w:t xml:space="preserve">Alleged that long delays, disputes overassessments, and unnecessarily complications in managing claims by Southern Response breached the complainant’s rights under the OECD Guidelines to health, property, adequate housing and the rights of children and persons with disabilities. The NCP considered that the claim did not fall within the scope of the </w:t>
            </w:r>
            <w:r>
              <w:lastRenderedPageBreak/>
              <w:t xml:space="preserve">Guidelines because Southern Response was not a multinational enterprise. (Final Statement </w:t>
            </w:r>
            <w:hyperlink r:id="rId14" w:history="1">
              <w:r>
                <w:rPr>
                  <w:rStyle w:val="Hyperlink"/>
                </w:rPr>
                <w:t>link here</w:t>
              </w:r>
            </w:hyperlink>
            <w:r>
              <w:t>)</w:t>
            </w:r>
          </w:p>
        </w:tc>
      </w:tr>
      <w:tr w:rsidR="00EB599C" w14:paraId="051203F1" w14:textId="77777777" w:rsidTr="00EB599C">
        <w:trPr>
          <w:gridAfter w:val="1"/>
          <w:wAfter w:w="6" w:type="dxa"/>
        </w:trPr>
        <w:tc>
          <w:tcPr>
            <w:tcW w:w="799" w:type="dxa"/>
            <w:tcBorders>
              <w:top w:val="single" w:sz="4" w:space="0" w:color="auto"/>
              <w:left w:val="single" w:sz="4" w:space="0" w:color="auto"/>
              <w:bottom w:val="single" w:sz="4" w:space="0" w:color="auto"/>
              <w:right w:val="single" w:sz="4" w:space="0" w:color="auto"/>
            </w:tcBorders>
          </w:tcPr>
          <w:p w14:paraId="5897F7E9" w14:textId="2A91B433" w:rsidR="00EB599C" w:rsidRDefault="00EB599C" w:rsidP="00EB599C">
            <w:r>
              <w:lastRenderedPageBreak/>
              <w:t>SI006</w:t>
            </w:r>
          </w:p>
        </w:tc>
        <w:tc>
          <w:tcPr>
            <w:tcW w:w="952" w:type="dxa"/>
            <w:tcBorders>
              <w:top w:val="single" w:sz="4" w:space="0" w:color="auto"/>
              <w:left w:val="single" w:sz="4" w:space="0" w:color="auto"/>
              <w:bottom w:val="single" w:sz="4" w:space="0" w:color="auto"/>
              <w:right w:val="single" w:sz="4" w:space="0" w:color="auto"/>
            </w:tcBorders>
          </w:tcPr>
          <w:p w14:paraId="796F441D" w14:textId="6BDAB60A" w:rsidR="00EB599C" w:rsidRDefault="00EB599C" w:rsidP="00EB599C">
            <w:pPr>
              <w:pStyle w:val="Default"/>
              <w:rPr>
                <w:sz w:val="22"/>
                <w:szCs w:val="22"/>
              </w:rPr>
            </w:pPr>
            <w:r>
              <w:rPr>
                <w:sz w:val="22"/>
                <w:szCs w:val="22"/>
              </w:rPr>
              <w:t>Closed</w:t>
            </w:r>
          </w:p>
        </w:tc>
        <w:tc>
          <w:tcPr>
            <w:tcW w:w="1924" w:type="dxa"/>
            <w:tcBorders>
              <w:top w:val="single" w:sz="4" w:space="0" w:color="auto"/>
              <w:left w:val="single" w:sz="4" w:space="0" w:color="auto"/>
              <w:bottom w:val="single" w:sz="4" w:space="0" w:color="auto"/>
              <w:right w:val="single" w:sz="4" w:space="0" w:color="auto"/>
            </w:tcBorders>
          </w:tcPr>
          <w:p w14:paraId="32BADE79" w14:textId="096B6E33" w:rsidR="00EB599C" w:rsidRDefault="00EB599C" w:rsidP="00EB599C">
            <w:pPr>
              <w:pStyle w:val="Default"/>
            </w:pPr>
            <w:r>
              <w:rPr>
                <w:sz w:val="22"/>
                <w:szCs w:val="22"/>
              </w:rPr>
              <w:t>Mr &amp; Mrs B v MNE II</w:t>
            </w:r>
          </w:p>
          <w:p w14:paraId="590E9D01" w14:textId="77777777" w:rsidR="00EB599C" w:rsidRDefault="00EB599C" w:rsidP="00EB599C"/>
        </w:tc>
        <w:tc>
          <w:tcPr>
            <w:tcW w:w="153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0AA16C4" w14:textId="45F5888C" w:rsidR="00EB599C" w:rsidRDefault="00EB599C" w:rsidP="00EB599C">
            <w:r>
              <w:t>Human Rights</w:t>
            </w:r>
          </w:p>
        </w:tc>
        <w:tc>
          <w:tcPr>
            <w:tcW w:w="1165" w:type="dxa"/>
            <w:tcBorders>
              <w:top w:val="single" w:sz="4" w:space="0" w:color="auto"/>
              <w:left w:val="single" w:sz="4" w:space="0" w:color="auto"/>
              <w:bottom w:val="single" w:sz="4" w:space="0" w:color="auto"/>
              <w:right w:val="single" w:sz="4" w:space="0" w:color="auto"/>
            </w:tcBorders>
          </w:tcPr>
          <w:p w14:paraId="38382A28" w14:textId="77842C5C" w:rsidR="00EB599C" w:rsidRDefault="00EB599C" w:rsidP="00EB599C">
            <w:r>
              <w:t>2015</w:t>
            </w:r>
          </w:p>
        </w:tc>
        <w:tc>
          <w:tcPr>
            <w:tcW w:w="204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5DB608E9" w14:textId="24A6CCE5" w:rsidR="00EB599C" w:rsidRDefault="00EB599C" w:rsidP="00EB599C">
            <w:r>
              <w:t>Complaint not substantiated and no further action</w:t>
            </w:r>
          </w:p>
        </w:tc>
        <w:tc>
          <w:tcPr>
            <w:tcW w:w="6549" w:type="dxa"/>
            <w:tcBorders>
              <w:top w:val="single" w:sz="4" w:space="0" w:color="auto"/>
              <w:left w:val="single" w:sz="4" w:space="0" w:color="auto"/>
              <w:bottom w:val="single" w:sz="4" w:space="0" w:color="auto"/>
              <w:right w:val="single" w:sz="4" w:space="0" w:color="auto"/>
            </w:tcBorders>
          </w:tcPr>
          <w:p w14:paraId="2E0F3041" w14:textId="77777777" w:rsidR="00EB599C" w:rsidRPr="00CF156E" w:rsidRDefault="00EB599C" w:rsidP="00EB599C">
            <w:r>
              <w:t>Alleged that through action and inactions adversely affected the B’s access to housing and health. T</w:t>
            </w:r>
            <w:r w:rsidRPr="00CF156E">
              <w:t xml:space="preserve">hese concerns alleged delays by MNE II in repairing earthquake damage due to non-earthquake related damage and the ability of MNE II to influence the domestic insurer’s decision-making over coverage of the claim. </w:t>
            </w:r>
            <w:r>
              <w:t xml:space="preserve">The NCP concluded that most of the issues raised against MNE II had not been substantiated and did not merit further action under the Guidelines. </w:t>
            </w:r>
            <w:r w:rsidRPr="00CF156E">
              <w:t xml:space="preserve"> The NCP considered that the actions sought by the B’s was not within MNE II’s ability to achieve or was reasonably demanded by the Guidelines. This was due to MNE II being an agent and not the principal determining on whether work proceeded, nor did MNE II have a legitimate role in subsequent disputes between the B’s domestic insurer and private insurer.</w:t>
            </w:r>
          </w:p>
          <w:p w14:paraId="2B80BE51" w14:textId="17BAF6E5" w:rsidR="00EB599C" w:rsidRDefault="00EB599C" w:rsidP="00EB599C">
            <w:r>
              <w:t xml:space="preserve">(Final statement </w:t>
            </w:r>
            <w:hyperlink r:id="rId15" w:history="1">
              <w:r>
                <w:rPr>
                  <w:rStyle w:val="Hyperlink"/>
                </w:rPr>
                <w:t>link here</w:t>
              </w:r>
            </w:hyperlink>
            <w:r>
              <w:t>)</w:t>
            </w:r>
          </w:p>
        </w:tc>
      </w:tr>
      <w:tr w:rsidR="00EB599C" w14:paraId="43E21DB4" w14:textId="77777777" w:rsidTr="00EB599C">
        <w:trPr>
          <w:gridAfter w:val="1"/>
          <w:wAfter w:w="6" w:type="dxa"/>
        </w:trPr>
        <w:tc>
          <w:tcPr>
            <w:tcW w:w="799" w:type="dxa"/>
            <w:tcBorders>
              <w:top w:val="single" w:sz="4" w:space="0" w:color="auto"/>
              <w:left w:val="single" w:sz="4" w:space="0" w:color="auto"/>
              <w:bottom w:val="single" w:sz="4" w:space="0" w:color="auto"/>
              <w:right w:val="single" w:sz="4" w:space="0" w:color="auto"/>
            </w:tcBorders>
          </w:tcPr>
          <w:p w14:paraId="5A9F7657" w14:textId="7322B781" w:rsidR="00EB599C" w:rsidRDefault="00EB599C" w:rsidP="00EB599C">
            <w:r>
              <w:t>SI005</w:t>
            </w:r>
          </w:p>
        </w:tc>
        <w:tc>
          <w:tcPr>
            <w:tcW w:w="952" w:type="dxa"/>
            <w:tcBorders>
              <w:top w:val="single" w:sz="4" w:space="0" w:color="auto"/>
              <w:left w:val="single" w:sz="4" w:space="0" w:color="auto"/>
              <w:bottom w:val="single" w:sz="4" w:space="0" w:color="auto"/>
              <w:right w:val="single" w:sz="4" w:space="0" w:color="auto"/>
            </w:tcBorders>
          </w:tcPr>
          <w:p w14:paraId="39B20B74" w14:textId="55A6C715" w:rsidR="00EB599C" w:rsidRDefault="00EB599C" w:rsidP="00EB599C">
            <w:pPr>
              <w:pStyle w:val="Default"/>
              <w:rPr>
                <w:sz w:val="22"/>
                <w:szCs w:val="22"/>
              </w:rPr>
            </w:pPr>
            <w:r>
              <w:rPr>
                <w:sz w:val="22"/>
                <w:szCs w:val="22"/>
              </w:rPr>
              <w:t>Closed</w:t>
            </w:r>
          </w:p>
        </w:tc>
        <w:tc>
          <w:tcPr>
            <w:tcW w:w="1924" w:type="dxa"/>
            <w:tcBorders>
              <w:top w:val="single" w:sz="4" w:space="0" w:color="auto"/>
              <w:left w:val="single" w:sz="4" w:space="0" w:color="auto"/>
              <w:bottom w:val="single" w:sz="4" w:space="0" w:color="auto"/>
              <w:right w:val="single" w:sz="4" w:space="0" w:color="auto"/>
            </w:tcBorders>
          </w:tcPr>
          <w:p w14:paraId="15E6C77D" w14:textId="3C94F61A" w:rsidR="00EB599C" w:rsidRDefault="00EB599C" w:rsidP="00EB599C">
            <w:pPr>
              <w:pStyle w:val="Default"/>
            </w:pPr>
            <w:r>
              <w:rPr>
                <w:sz w:val="22"/>
                <w:szCs w:val="22"/>
              </w:rPr>
              <w:t>Mr &amp; Mrs B v MNE I</w:t>
            </w:r>
          </w:p>
          <w:p w14:paraId="328BC21F" w14:textId="77777777" w:rsidR="00EB599C" w:rsidRDefault="00EB599C" w:rsidP="00EB599C"/>
        </w:tc>
        <w:tc>
          <w:tcPr>
            <w:tcW w:w="153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6A2E2EC" w14:textId="517FCCC4" w:rsidR="00EB599C" w:rsidRDefault="00EB599C" w:rsidP="00EB599C">
            <w:r>
              <w:rPr>
                <w:shd w:val="clear" w:color="auto" w:fill="F2CEED" w:themeFill="accent5" w:themeFillTint="33"/>
              </w:rPr>
              <w:t>Human</w:t>
            </w:r>
            <w:r>
              <w:t xml:space="preserve"> Rights</w:t>
            </w:r>
          </w:p>
        </w:tc>
        <w:tc>
          <w:tcPr>
            <w:tcW w:w="1165" w:type="dxa"/>
            <w:tcBorders>
              <w:top w:val="single" w:sz="4" w:space="0" w:color="auto"/>
              <w:left w:val="single" w:sz="4" w:space="0" w:color="auto"/>
              <w:bottom w:val="single" w:sz="4" w:space="0" w:color="auto"/>
              <w:right w:val="single" w:sz="4" w:space="0" w:color="auto"/>
            </w:tcBorders>
          </w:tcPr>
          <w:p w14:paraId="21E85266" w14:textId="2EDF6A8C" w:rsidR="00EB599C" w:rsidRDefault="00EB599C" w:rsidP="00EB599C">
            <w:r>
              <w:t>2015</w:t>
            </w:r>
          </w:p>
        </w:tc>
        <w:tc>
          <w:tcPr>
            <w:tcW w:w="204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68ADE4A6" w14:textId="4C07538D" w:rsidR="00EB599C" w:rsidRDefault="00EB599C" w:rsidP="00EB599C">
            <w:r>
              <w:t>Mediation offered – not accepted</w:t>
            </w:r>
          </w:p>
        </w:tc>
        <w:tc>
          <w:tcPr>
            <w:tcW w:w="6549" w:type="dxa"/>
            <w:tcBorders>
              <w:top w:val="single" w:sz="4" w:space="0" w:color="auto"/>
              <w:left w:val="single" w:sz="4" w:space="0" w:color="auto"/>
              <w:bottom w:val="single" w:sz="4" w:space="0" w:color="auto"/>
              <w:right w:val="single" w:sz="4" w:space="0" w:color="auto"/>
            </w:tcBorders>
          </w:tcPr>
          <w:p w14:paraId="7229AD16" w14:textId="23B5B2A7" w:rsidR="00EB599C" w:rsidRDefault="00EB599C" w:rsidP="00EB599C">
            <w:r>
              <w:t xml:space="preserve">Alleged that MNE I should have remedied or exerted influence over EQC, a domestic insurer, to remedy disputes over the causes of damage to the Mr &amp; Mrs B’s property by EQC’s contractor, and MNE I should have provided adequate temporary accommodation. The NCP concluded that most of the issues raised against MNE I had not been substantiated and did not merit further action under the Guidelines due to the ability of MNE I to exert influence over EQC. However, the issues raised over the adequacy of the temporary accommodation in the context of a policy entitlement to an accommodation allowance merited further involvement. (Final Statement </w:t>
            </w:r>
            <w:hyperlink r:id="rId16" w:history="1">
              <w:r>
                <w:rPr>
                  <w:rStyle w:val="Hyperlink"/>
                </w:rPr>
                <w:t>link here</w:t>
              </w:r>
            </w:hyperlink>
            <w:r>
              <w:t>)</w:t>
            </w:r>
          </w:p>
        </w:tc>
      </w:tr>
      <w:tr w:rsidR="00EB599C" w14:paraId="40C9C707" w14:textId="77777777" w:rsidTr="00EB599C">
        <w:trPr>
          <w:gridAfter w:val="1"/>
          <w:wAfter w:w="6" w:type="dxa"/>
        </w:trPr>
        <w:tc>
          <w:tcPr>
            <w:tcW w:w="799" w:type="dxa"/>
            <w:tcBorders>
              <w:top w:val="single" w:sz="4" w:space="0" w:color="auto"/>
              <w:left w:val="single" w:sz="4" w:space="0" w:color="auto"/>
              <w:bottom w:val="single" w:sz="4" w:space="0" w:color="auto"/>
              <w:right w:val="single" w:sz="4" w:space="0" w:color="auto"/>
            </w:tcBorders>
          </w:tcPr>
          <w:p w14:paraId="5439ACB8" w14:textId="14B30D08" w:rsidR="00EB599C" w:rsidRDefault="00EB599C" w:rsidP="00EB599C">
            <w:r>
              <w:t>SI004</w:t>
            </w:r>
          </w:p>
        </w:tc>
        <w:tc>
          <w:tcPr>
            <w:tcW w:w="952" w:type="dxa"/>
            <w:tcBorders>
              <w:top w:val="single" w:sz="4" w:space="0" w:color="auto"/>
              <w:left w:val="single" w:sz="4" w:space="0" w:color="auto"/>
              <w:bottom w:val="single" w:sz="4" w:space="0" w:color="auto"/>
              <w:right w:val="single" w:sz="4" w:space="0" w:color="auto"/>
            </w:tcBorders>
          </w:tcPr>
          <w:p w14:paraId="634CFE36" w14:textId="3912746E" w:rsidR="00EB599C" w:rsidRDefault="00EB599C" w:rsidP="00EB599C">
            <w:r>
              <w:t>Closed</w:t>
            </w:r>
          </w:p>
        </w:tc>
        <w:tc>
          <w:tcPr>
            <w:tcW w:w="1924" w:type="dxa"/>
            <w:tcBorders>
              <w:top w:val="single" w:sz="4" w:space="0" w:color="auto"/>
              <w:left w:val="single" w:sz="4" w:space="0" w:color="auto"/>
              <w:bottom w:val="single" w:sz="4" w:space="0" w:color="auto"/>
              <w:right w:val="single" w:sz="4" w:space="0" w:color="auto"/>
            </w:tcBorders>
          </w:tcPr>
          <w:p w14:paraId="43A3E683" w14:textId="7E6E29F8" w:rsidR="00EB599C" w:rsidRDefault="00EB599C" w:rsidP="00EB599C">
            <w:r>
              <w:t>Messrs R&amp;J v Arrow Intl</w:t>
            </w:r>
          </w:p>
        </w:tc>
        <w:tc>
          <w:tcPr>
            <w:tcW w:w="153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1CEF700" w14:textId="26E41CF6" w:rsidR="00EB599C" w:rsidRDefault="00EB599C" w:rsidP="00EB599C">
            <w:r>
              <w:t>Human rights</w:t>
            </w:r>
          </w:p>
        </w:tc>
        <w:tc>
          <w:tcPr>
            <w:tcW w:w="1165" w:type="dxa"/>
            <w:tcBorders>
              <w:top w:val="single" w:sz="4" w:space="0" w:color="auto"/>
              <w:left w:val="single" w:sz="4" w:space="0" w:color="auto"/>
              <w:bottom w:val="single" w:sz="4" w:space="0" w:color="auto"/>
              <w:right w:val="single" w:sz="4" w:space="0" w:color="auto"/>
            </w:tcBorders>
          </w:tcPr>
          <w:p w14:paraId="7BE67272" w14:textId="1837C995" w:rsidR="00EB599C" w:rsidRDefault="00EB599C" w:rsidP="00EB599C">
            <w:r>
              <w:t>2014</w:t>
            </w:r>
          </w:p>
        </w:tc>
        <w:tc>
          <w:tcPr>
            <w:tcW w:w="2041"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2C16924" w14:textId="2F3D2628" w:rsidR="00EB599C" w:rsidRDefault="00EB599C" w:rsidP="00EB599C">
            <w:r>
              <w:t>Mediation offered – not accepted</w:t>
            </w:r>
          </w:p>
        </w:tc>
        <w:tc>
          <w:tcPr>
            <w:tcW w:w="6549" w:type="dxa"/>
            <w:tcBorders>
              <w:top w:val="single" w:sz="4" w:space="0" w:color="auto"/>
              <w:left w:val="single" w:sz="4" w:space="0" w:color="auto"/>
              <w:bottom w:val="single" w:sz="4" w:space="0" w:color="auto"/>
              <w:right w:val="single" w:sz="4" w:space="0" w:color="auto"/>
            </w:tcBorders>
          </w:tcPr>
          <w:p w14:paraId="60EB5FDF" w14:textId="7E5CD711" w:rsidR="00EB599C" w:rsidRDefault="00EB599C" w:rsidP="00EB599C">
            <w:r>
              <w:t xml:space="preserve">Alleged that inadequate damage assessments and repair or rebuild strategies by Arrow International affected the complainants right to adequate housing. Additional delays affected their right to housing and health and dignity and lack of human rights and due diligence policy that was in breach of the Guidelines. Mediation was offered but did not proceed </w:t>
            </w:r>
            <w:r>
              <w:lastRenderedPageBreak/>
              <w:t xml:space="preserve">due to irreconcilable differences in views.  Arrow International introduced a social responsibility and due diligence policy. (Final statement </w:t>
            </w:r>
            <w:hyperlink r:id="rId17" w:history="1">
              <w:r>
                <w:rPr>
                  <w:rStyle w:val="Hyperlink"/>
                </w:rPr>
                <w:t>linked here</w:t>
              </w:r>
            </w:hyperlink>
            <w:r>
              <w:t>)</w:t>
            </w:r>
          </w:p>
        </w:tc>
      </w:tr>
      <w:tr w:rsidR="00EB599C" w14:paraId="5664C3FC" w14:textId="77777777" w:rsidTr="00EB599C">
        <w:trPr>
          <w:gridAfter w:val="1"/>
          <w:wAfter w:w="6" w:type="dxa"/>
        </w:trPr>
        <w:tc>
          <w:tcPr>
            <w:tcW w:w="799" w:type="dxa"/>
            <w:tcBorders>
              <w:top w:val="single" w:sz="4" w:space="0" w:color="auto"/>
              <w:left w:val="single" w:sz="4" w:space="0" w:color="auto"/>
              <w:bottom w:val="single" w:sz="4" w:space="0" w:color="auto"/>
              <w:right w:val="single" w:sz="4" w:space="0" w:color="auto"/>
            </w:tcBorders>
          </w:tcPr>
          <w:p w14:paraId="724FCD8E" w14:textId="6992A594" w:rsidR="00EB599C" w:rsidRDefault="00EB599C" w:rsidP="00EB599C">
            <w:r>
              <w:lastRenderedPageBreak/>
              <w:t>SI003</w:t>
            </w:r>
          </w:p>
        </w:tc>
        <w:tc>
          <w:tcPr>
            <w:tcW w:w="952" w:type="dxa"/>
            <w:tcBorders>
              <w:top w:val="single" w:sz="4" w:space="0" w:color="auto"/>
              <w:left w:val="single" w:sz="4" w:space="0" w:color="auto"/>
              <w:bottom w:val="single" w:sz="4" w:space="0" w:color="auto"/>
              <w:right w:val="single" w:sz="4" w:space="0" w:color="auto"/>
            </w:tcBorders>
          </w:tcPr>
          <w:p w14:paraId="60A13C58" w14:textId="6262A6DB" w:rsidR="00EB599C" w:rsidRDefault="00EB599C" w:rsidP="00EB599C">
            <w:r>
              <w:t>Closed</w:t>
            </w:r>
          </w:p>
        </w:tc>
        <w:tc>
          <w:tcPr>
            <w:tcW w:w="1924" w:type="dxa"/>
            <w:tcBorders>
              <w:top w:val="single" w:sz="4" w:space="0" w:color="auto"/>
              <w:left w:val="single" w:sz="4" w:space="0" w:color="auto"/>
              <w:bottom w:val="single" w:sz="4" w:space="0" w:color="auto"/>
              <w:right w:val="single" w:sz="4" w:space="0" w:color="auto"/>
            </w:tcBorders>
          </w:tcPr>
          <w:p w14:paraId="7A8DBCF7" w14:textId="1BC145D8" w:rsidR="00EB599C" w:rsidRDefault="00EB599C" w:rsidP="00EB599C">
            <w:hyperlink r:id="rId18" w:history="1">
              <w:r>
                <w:rPr>
                  <w:rStyle w:val="Hyperlink"/>
                  <w:color w:val="auto"/>
                </w:rPr>
                <w:t>Mr</w:t>
              </w:r>
            </w:hyperlink>
            <w:r>
              <w:t xml:space="preserve"> &amp; Mrs Y v X</w:t>
            </w:r>
          </w:p>
        </w:tc>
        <w:tc>
          <w:tcPr>
            <w:tcW w:w="153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A973DA7" w14:textId="712BF251" w:rsidR="00EB599C" w:rsidRDefault="00EB599C" w:rsidP="00EB599C">
            <w:r>
              <w:t>Human rights</w:t>
            </w:r>
          </w:p>
        </w:tc>
        <w:tc>
          <w:tcPr>
            <w:tcW w:w="1165" w:type="dxa"/>
            <w:tcBorders>
              <w:top w:val="single" w:sz="4" w:space="0" w:color="auto"/>
              <w:left w:val="single" w:sz="4" w:space="0" w:color="auto"/>
              <w:bottom w:val="single" w:sz="4" w:space="0" w:color="auto"/>
              <w:right w:val="single" w:sz="4" w:space="0" w:color="auto"/>
            </w:tcBorders>
          </w:tcPr>
          <w:p w14:paraId="0724F521" w14:textId="3DFC0397" w:rsidR="00EB599C" w:rsidRDefault="00EB599C" w:rsidP="00EB599C">
            <w:r>
              <w:t>2013</w:t>
            </w:r>
          </w:p>
        </w:tc>
        <w:tc>
          <w:tcPr>
            <w:tcW w:w="2041"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2FDCB514" w14:textId="08227C92" w:rsidR="00EB599C" w:rsidRDefault="00EB599C" w:rsidP="00EB599C">
            <w:r>
              <w:t>Mediation offered – Abandoned</w:t>
            </w:r>
          </w:p>
        </w:tc>
        <w:tc>
          <w:tcPr>
            <w:tcW w:w="6549" w:type="dxa"/>
            <w:tcBorders>
              <w:top w:val="single" w:sz="4" w:space="0" w:color="auto"/>
              <w:left w:val="single" w:sz="4" w:space="0" w:color="auto"/>
              <w:bottom w:val="single" w:sz="4" w:space="0" w:color="auto"/>
              <w:right w:val="single" w:sz="4" w:space="0" w:color="auto"/>
            </w:tcBorders>
          </w:tcPr>
          <w:p w14:paraId="411B7BAF" w14:textId="1F3EA11D" w:rsidR="00EB599C" w:rsidRDefault="00EB599C" w:rsidP="00EB599C">
            <w:r>
              <w:t xml:space="preserve">Alleged that long delays, disputes over assessments, unnecessarily complications and issues of conduct by X’s representatives in the settlement of their claim breached the complainants right to the highest attainable standard of health. Mediation resulted in an initial agreement to settle the issues between the parties, however, this was ultimately not able to be sustained and further mediation was abandoned. (Final Statement </w:t>
            </w:r>
            <w:hyperlink r:id="rId19" w:history="1">
              <w:r>
                <w:rPr>
                  <w:rStyle w:val="Hyperlink"/>
                </w:rPr>
                <w:t>link here</w:t>
              </w:r>
            </w:hyperlink>
            <w:r>
              <w:t>)</w:t>
            </w:r>
          </w:p>
        </w:tc>
      </w:tr>
      <w:tr w:rsidR="00EB599C" w14:paraId="6986DFDE" w14:textId="2494E3BF" w:rsidTr="00EB599C">
        <w:tc>
          <w:tcPr>
            <w:tcW w:w="14967" w:type="dxa"/>
            <w:gridSpan w:val="8"/>
          </w:tcPr>
          <w:p w14:paraId="52F3AED4" w14:textId="65082F2B" w:rsidR="00EB599C" w:rsidRDefault="00EB599C" w:rsidP="00EB599C">
            <w:r w:rsidRPr="00CF156E">
              <w:rPr>
                <w:i/>
                <w:iCs/>
              </w:rPr>
              <w:t>In late 2013, almost 50 specific instance complaints were made to the NCP arising from claimants’ experiences with insurers, construction firms and government agencies in the aftermath of the Canterbury earthquakes. All complaints alleged breaches of the human rights provisions of the Guidelines and were coordinated by a Christchurch NGO, the Wider Earthquake Community Action Network (</w:t>
            </w:r>
            <w:proofErr w:type="spellStart"/>
            <w:r w:rsidRPr="00CF156E">
              <w:rPr>
                <w:i/>
                <w:iCs/>
              </w:rPr>
              <w:t>WeCAN</w:t>
            </w:r>
            <w:proofErr w:type="spellEnd"/>
            <w:r w:rsidRPr="00CF156E">
              <w:rPr>
                <w:i/>
                <w:iCs/>
              </w:rPr>
              <w:t xml:space="preserve">). In 2014, the total number of complaints received rose to 67.  Following initial screening, this number was substantially scaled back to two substantive cases that the NCP proceeded to investigate. Most </w:t>
            </w:r>
            <w:r w:rsidRPr="00CF156E">
              <w:rPr>
                <w:i/>
                <w:iCs/>
                <w:lang w:val="en-GB"/>
              </w:rPr>
              <w:t xml:space="preserve">complaints were rejected because of a lack of supporting information or because the entities complained about were not Multinational Enterprises. </w:t>
            </w:r>
            <w:r w:rsidRPr="00CF156E">
              <w:rPr>
                <w:i/>
                <w:iCs/>
              </w:rPr>
              <w:t>In 2015, further complaints were lodged and by 2016 the NCP had 11 specific instance complaints in play at varying stages of the complaints process related to the aftermath of the Canterbury earthquakes (Refer Cases SI003 through to SI013 below).</w:t>
            </w:r>
          </w:p>
        </w:tc>
      </w:tr>
      <w:tr w:rsidR="00EB599C" w14:paraId="168DA633" w14:textId="77777777" w:rsidTr="00EB599C">
        <w:trPr>
          <w:gridAfter w:val="1"/>
          <w:wAfter w:w="6" w:type="dxa"/>
        </w:trPr>
        <w:tc>
          <w:tcPr>
            <w:tcW w:w="799" w:type="dxa"/>
            <w:tcBorders>
              <w:top w:val="single" w:sz="4" w:space="0" w:color="auto"/>
              <w:left w:val="single" w:sz="4" w:space="0" w:color="auto"/>
              <w:bottom w:val="single" w:sz="4" w:space="0" w:color="auto"/>
              <w:right w:val="single" w:sz="4" w:space="0" w:color="auto"/>
            </w:tcBorders>
          </w:tcPr>
          <w:p w14:paraId="6735B57E" w14:textId="4E6B98E4" w:rsidR="00EB599C" w:rsidRDefault="00EB599C" w:rsidP="00EB599C">
            <w:r>
              <w:t>SI002</w:t>
            </w:r>
          </w:p>
        </w:tc>
        <w:tc>
          <w:tcPr>
            <w:tcW w:w="952" w:type="dxa"/>
            <w:tcBorders>
              <w:top w:val="single" w:sz="4" w:space="0" w:color="auto"/>
              <w:left w:val="single" w:sz="4" w:space="0" w:color="auto"/>
              <w:bottom w:val="single" w:sz="4" w:space="0" w:color="auto"/>
              <w:right w:val="single" w:sz="4" w:space="0" w:color="auto"/>
            </w:tcBorders>
          </w:tcPr>
          <w:p w14:paraId="272E666F" w14:textId="2089A253" w:rsidR="00EB599C" w:rsidRDefault="00EB599C" w:rsidP="00EB599C">
            <w:r>
              <w:t>Closed</w:t>
            </w:r>
          </w:p>
        </w:tc>
        <w:tc>
          <w:tcPr>
            <w:tcW w:w="1924" w:type="dxa"/>
            <w:tcBorders>
              <w:top w:val="single" w:sz="4" w:space="0" w:color="auto"/>
              <w:left w:val="single" w:sz="4" w:space="0" w:color="auto"/>
              <w:bottom w:val="single" w:sz="4" w:space="0" w:color="auto"/>
              <w:right w:val="single" w:sz="4" w:space="0" w:color="auto"/>
            </w:tcBorders>
          </w:tcPr>
          <w:p w14:paraId="10D551BA" w14:textId="20242F11" w:rsidR="00EB599C" w:rsidRDefault="00EB599C" w:rsidP="00EB599C">
            <w:r>
              <w:t xml:space="preserve">EPMU v </w:t>
            </w:r>
            <w:proofErr w:type="spellStart"/>
            <w:r>
              <w:t>Visionstream</w:t>
            </w:r>
            <w:proofErr w:type="spellEnd"/>
            <w:r>
              <w:t xml:space="preserve"> </w:t>
            </w:r>
          </w:p>
          <w:p w14:paraId="12809591" w14:textId="77777777" w:rsidR="00EB599C" w:rsidRDefault="00EB599C" w:rsidP="00EB599C"/>
        </w:tc>
        <w:tc>
          <w:tcPr>
            <w:tcW w:w="1531"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69F699A4" w14:textId="62ACF973" w:rsidR="00EB599C" w:rsidRDefault="00EB599C" w:rsidP="00EB599C">
            <w:r>
              <w:t>Employment</w:t>
            </w:r>
          </w:p>
        </w:tc>
        <w:tc>
          <w:tcPr>
            <w:tcW w:w="1165" w:type="dxa"/>
            <w:tcBorders>
              <w:top w:val="single" w:sz="4" w:space="0" w:color="auto"/>
              <w:left w:val="single" w:sz="4" w:space="0" w:color="auto"/>
              <w:bottom w:val="single" w:sz="4" w:space="0" w:color="auto"/>
              <w:right w:val="single" w:sz="4" w:space="0" w:color="auto"/>
            </w:tcBorders>
          </w:tcPr>
          <w:p w14:paraId="34710ABC" w14:textId="20EAA96A" w:rsidR="00EB599C" w:rsidRDefault="00EB599C" w:rsidP="00EB599C">
            <w:r>
              <w:t>2009</w:t>
            </w:r>
          </w:p>
        </w:tc>
        <w:tc>
          <w:tcPr>
            <w:tcW w:w="204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6FB5A62F" w14:textId="65720BEA" w:rsidR="00EB599C" w:rsidRDefault="00EB599C" w:rsidP="00EB599C">
            <w:r>
              <w:t xml:space="preserve">No further action taken </w:t>
            </w:r>
          </w:p>
        </w:tc>
        <w:tc>
          <w:tcPr>
            <w:tcW w:w="6549" w:type="dxa"/>
            <w:tcBorders>
              <w:top w:val="single" w:sz="4" w:space="0" w:color="auto"/>
              <w:left w:val="single" w:sz="4" w:space="0" w:color="auto"/>
              <w:bottom w:val="single" w:sz="4" w:space="0" w:color="auto"/>
              <w:right w:val="single" w:sz="4" w:space="0" w:color="auto"/>
            </w:tcBorders>
          </w:tcPr>
          <w:p w14:paraId="634009FD" w14:textId="61C3AC57" w:rsidR="00EB599C" w:rsidRDefault="00EB599C" w:rsidP="00EB599C">
            <w:r>
              <w:t xml:space="preserve">Alleged the activities of </w:t>
            </w:r>
            <w:proofErr w:type="spellStart"/>
            <w:r>
              <w:t>Visionstream</w:t>
            </w:r>
            <w:proofErr w:type="spellEnd"/>
            <w:r>
              <w:t xml:space="preserve"> Pty Ltd, an Australian owned telecommunication services company operating a ‘dependent contractor’ model, undermined workers’ rights and was in breach of the Guidelines. The NCP determined that the submission did not merit further examination as the Guidelines contracting service providers as used by the MNEs was a legitimate model and does not in itself breach the principles embodied in Chapter IV of the Guidelines and the MNE was operating within the framework of applicable law and regulations of NZ. (No final statement required by the Guidelines prior to 2011</w:t>
            </w:r>
            <w:r w:rsidR="00382F4C">
              <w:t>).</w:t>
            </w:r>
          </w:p>
          <w:p w14:paraId="26B55BC0" w14:textId="77777777" w:rsidR="00EB599C" w:rsidRDefault="00EB599C" w:rsidP="00EB599C"/>
        </w:tc>
      </w:tr>
      <w:tr w:rsidR="00EB599C" w14:paraId="67FA57A5" w14:textId="77777777" w:rsidTr="00EB599C">
        <w:trPr>
          <w:gridAfter w:val="1"/>
          <w:wAfter w:w="6" w:type="dxa"/>
          <w:trHeight w:val="2490"/>
        </w:trPr>
        <w:tc>
          <w:tcPr>
            <w:tcW w:w="799" w:type="dxa"/>
            <w:vMerge w:val="restart"/>
            <w:tcBorders>
              <w:top w:val="single" w:sz="4" w:space="0" w:color="auto"/>
              <w:left w:val="single" w:sz="4" w:space="0" w:color="auto"/>
              <w:right w:val="single" w:sz="4" w:space="0" w:color="auto"/>
            </w:tcBorders>
          </w:tcPr>
          <w:p w14:paraId="2AC5EE18" w14:textId="0BF4F1C3" w:rsidR="00EB599C" w:rsidRDefault="00EB599C" w:rsidP="00EB599C">
            <w:r>
              <w:lastRenderedPageBreak/>
              <w:t>SI001</w:t>
            </w:r>
          </w:p>
        </w:tc>
        <w:tc>
          <w:tcPr>
            <w:tcW w:w="952" w:type="dxa"/>
            <w:vMerge w:val="restart"/>
            <w:tcBorders>
              <w:top w:val="single" w:sz="4" w:space="0" w:color="auto"/>
              <w:left w:val="single" w:sz="4" w:space="0" w:color="auto"/>
              <w:right w:val="single" w:sz="4" w:space="0" w:color="auto"/>
            </w:tcBorders>
          </w:tcPr>
          <w:p w14:paraId="726EF021" w14:textId="0A9E63B6" w:rsidR="00EB599C" w:rsidRDefault="00EB599C" w:rsidP="00EB599C">
            <w:r>
              <w:t>Closed</w:t>
            </w:r>
          </w:p>
        </w:tc>
        <w:tc>
          <w:tcPr>
            <w:tcW w:w="1924" w:type="dxa"/>
            <w:vMerge w:val="restart"/>
            <w:tcBorders>
              <w:top w:val="single" w:sz="4" w:space="0" w:color="auto"/>
              <w:left w:val="single" w:sz="4" w:space="0" w:color="auto"/>
              <w:right w:val="single" w:sz="4" w:space="0" w:color="auto"/>
            </w:tcBorders>
          </w:tcPr>
          <w:p w14:paraId="064BD1EF" w14:textId="3A1C8033" w:rsidR="00EB599C" w:rsidRDefault="00EB599C" w:rsidP="00EB599C">
            <w:r>
              <w:t>Green Party v ANZ bank</w:t>
            </w:r>
          </w:p>
        </w:tc>
        <w:tc>
          <w:tcPr>
            <w:tcW w:w="153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5C16EAE" w14:textId="397D6267" w:rsidR="00EB599C" w:rsidRDefault="00EB599C" w:rsidP="00EB599C">
            <w:r>
              <w:t xml:space="preserve">Human rights </w:t>
            </w:r>
          </w:p>
        </w:tc>
        <w:tc>
          <w:tcPr>
            <w:tcW w:w="1165" w:type="dxa"/>
            <w:vMerge w:val="restart"/>
            <w:tcBorders>
              <w:top w:val="single" w:sz="4" w:space="0" w:color="auto"/>
              <w:left w:val="single" w:sz="4" w:space="0" w:color="auto"/>
              <w:right w:val="single" w:sz="4" w:space="0" w:color="auto"/>
            </w:tcBorders>
          </w:tcPr>
          <w:p w14:paraId="08BFCD2D" w14:textId="1A34E37C" w:rsidR="00EB599C" w:rsidRDefault="00EB599C" w:rsidP="00EB599C">
            <w:r>
              <w:t>2007</w:t>
            </w:r>
          </w:p>
        </w:tc>
        <w:tc>
          <w:tcPr>
            <w:tcW w:w="2041" w:type="dxa"/>
            <w:vMerge w:val="restart"/>
            <w:tcBorders>
              <w:top w:val="single" w:sz="4" w:space="0" w:color="auto"/>
              <w:left w:val="single" w:sz="4" w:space="0" w:color="auto"/>
              <w:right w:val="single" w:sz="4" w:space="0" w:color="auto"/>
            </w:tcBorders>
            <w:shd w:val="clear" w:color="auto" w:fill="FAE2D5" w:themeFill="accent2" w:themeFillTint="33"/>
          </w:tcPr>
          <w:p w14:paraId="412EE128" w14:textId="7A07CC42" w:rsidR="00EB599C" w:rsidRDefault="00EB599C" w:rsidP="00EB599C">
            <w:r>
              <w:t>No further action taken</w:t>
            </w:r>
          </w:p>
        </w:tc>
        <w:tc>
          <w:tcPr>
            <w:tcW w:w="6549" w:type="dxa"/>
            <w:vMerge w:val="restart"/>
            <w:tcBorders>
              <w:top w:val="single" w:sz="4" w:space="0" w:color="auto"/>
              <w:left w:val="single" w:sz="4" w:space="0" w:color="auto"/>
              <w:right w:val="single" w:sz="4" w:space="0" w:color="auto"/>
            </w:tcBorders>
          </w:tcPr>
          <w:p w14:paraId="1833F35E" w14:textId="77777777" w:rsidR="00EB599C" w:rsidRDefault="00EB599C" w:rsidP="00EB599C">
            <w:r>
              <w:t xml:space="preserve">Alleged ANZ Bank’s support, through financing and provision of other financial services, of forestry businesses in PNG which were engaging in systemic serious human rights abuses, environmentally devastating logging practices and illegal conduct, was in breach of the Guidelines. </w:t>
            </w:r>
          </w:p>
          <w:p w14:paraId="1C0C2C80" w14:textId="77777777" w:rsidR="00EB599C" w:rsidRDefault="00EB599C" w:rsidP="00EB599C">
            <w:r>
              <w:t>The NZ NCP conducted an initial assessment and concluded that there was not a sufficient link to New Zealand in the request and that the specific instance did not merit further examination by the NZ NCP. The complaint concerned ANZ National Bank Ltd which is a subsidiary of the ANZ Banking Group Ltd multinational enterprise, headquartered in Melbourne, Australia. The NZ NCP viewed the Australian NCP was better placed to handle the specific instance and alerted it of the complaint. In 2006, the Australian NCP had examined a similar specific instance described in the complaint to the NZ NCP, and officials understand that there was ongoing contact between the Australian complainants, ANZ Banking Group Ltd and the ANCP. (No final statement required by the Guidelines prior to 2011.)</w:t>
            </w:r>
          </w:p>
          <w:p w14:paraId="3E80A302" w14:textId="77777777" w:rsidR="00EB599C" w:rsidRDefault="00EB599C" w:rsidP="00EB599C"/>
        </w:tc>
      </w:tr>
      <w:tr w:rsidR="00EB599C" w14:paraId="6B68ABB0" w14:textId="77777777" w:rsidTr="00EB599C">
        <w:trPr>
          <w:gridAfter w:val="1"/>
          <w:wAfter w:w="6" w:type="dxa"/>
          <w:trHeight w:val="2490"/>
        </w:trPr>
        <w:tc>
          <w:tcPr>
            <w:tcW w:w="799" w:type="dxa"/>
            <w:vMerge/>
            <w:tcBorders>
              <w:left w:val="single" w:sz="4" w:space="0" w:color="auto"/>
              <w:bottom w:val="single" w:sz="4" w:space="0" w:color="auto"/>
              <w:right w:val="single" w:sz="4" w:space="0" w:color="auto"/>
            </w:tcBorders>
          </w:tcPr>
          <w:p w14:paraId="742693A7" w14:textId="77777777" w:rsidR="00EB599C" w:rsidRDefault="00EB599C" w:rsidP="00EB599C"/>
        </w:tc>
        <w:tc>
          <w:tcPr>
            <w:tcW w:w="952" w:type="dxa"/>
            <w:vMerge/>
            <w:tcBorders>
              <w:left w:val="single" w:sz="4" w:space="0" w:color="auto"/>
              <w:bottom w:val="single" w:sz="4" w:space="0" w:color="auto"/>
              <w:right w:val="single" w:sz="4" w:space="0" w:color="auto"/>
            </w:tcBorders>
          </w:tcPr>
          <w:p w14:paraId="66A51373" w14:textId="77777777" w:rsidR="00EB599C" w:rsidRDefault="00EB599C" w:rsidP="00EB599C"/>
        </w:tc>
        <w:tc>
          <w:tcPr>
            <w:tcW w:w="1924" w:type="dxa"/>
            <w:vMerge/>
            <w:tcBorders>
              <w:left w:val="single" w:sz="4" w:space="0" w:color="auto"/>
              <w:bottom w:val="single" w:sz="4" w:space="0" w:color="auto"/>
              <w:right w:val="single" w:sz="4" w:space="0" w:color="auto"/>
            </w:tcBorders>
          </w:tcPr>
          <w:p w14:paraId="06FB52C0" w14:textId="24FF0665" w:rsidR="00EB599C" w:rsidRDefault="00EB599C" w:rsidP="00EB599C"/>
        </w:tc>
        <w:tc>
          <w:tcPr>
            <w:tcW w:w="1531"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2A24492" w14:textId="58CFE048" w:rsidR="00EB599C" w:rsidRDefault="00EB599C" w:rsidP="00EB599C">
            <w:r>
              <w:t>Environment</w:t>
            </w:r>
          </w:p>
        </w:tc>
        <w:tc>
          <w:tcPr>
            <w:tcW w:w="1165" w:type="dxa"/>
            <w:vMerge/>
            <w:tcBorders>
              <w:left w:val="single" w:sz="4" w:space="0" w:color="auto"/>
              <w:bottom w:val="single" w:sz="4" w:space="0" w:color="auto"/>
              <w:right w:val="single" w:sz="4" w:space="0" w:color="auto"/>
            </w:tcBorders>
          </w:tcPr>
          <w:p w14:paraId="562D976A" w14:textId="77777777" w:rsidR="00EB599C" w:rsidRDefault="00EB599C" w:rsidP="00EB599C"/>
        </w:tc>
        <w:tc>
          <w:tcPr>
            <w:tcW w:w="2041" w:type="dxa"/>
            <w:vMerge/>
            <w:tcBorders>
              <w:left w:val="single" w:sz="4" w:space="0" w:color="auto"/>
              <w:bottom w:val="single" w:sz="4" w:space="0" w:color="auto"/>
              <w:right w:val="single" w:sz="4" w:space="0" w:color="auto"/>
            </w:tcBorders>
            <w:shd w:val="clear" w:color="auto" w:fill="FAE2D5" w:themeFill="accent2" w:themeFillTint="33"/>
          </w:tcPr>
          <w:p w14:paraId="2E169972" w14:textId="77777777" w:rsidR="00EB599C" w:rsidRDefault="00EB599C" w:rsidP="00EB599C"/>
        </w:tc>
        <w:tc>
          <w:tcPr>
            <w:tcW w:w="6549" w:type="dxa"/>
            <w:vMerge/>
            <w:tcBorders>
              <w:left w:val="single" w:sz="4" w:space="0" w:color="auto"/>
              <w:bottom w:val="single" w:sz="4" w:space="0" w:color="auto"/>
              <w:right w:val="single" w:sz="4" w:space="0" w:color="auto"/>
            </w:tcBorders>
          </w:tcPr>
          <w:p w14:paraId="34097F62" w14:textId="77777777" w:rsidR="00EB599C" w:rsidRDefault="00EB599C" w:rsidP="00EB599C"/>
        </w:tc>
      </w:tr>
    </w:tbl>
    <w:p w14:paraId="44E4DB28" w14:textId="77777777" w:rsidR="00AD5504" w:rsidRDefault="00AD5504"/>
    <w:sectPr w:rsidR="00AD5504" w:rsidSect="00AD550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B635E" w14:textId="77777777" w:rsidR="00AD5504" w:rsidRDefault="00AD5504" w:rsidP="00AD5504">
      <w:pPr>
        <w:spacing w:after="0" w:line="240" w:lineRule="auto"/>
      </w:pPr>
      <w:r>
        <w:separator/>
      </w:r>
    </w:p>
  </w:endnote>
  <w:endnote w:type="continuationSeparator" w:id="0">
    <w:p w14:paraId="57757846" w14:textId="77777777" w:rsidR="00AD5504" w:rsidRDefault="00AD5504" w:rsidP="00AD5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094E" w14:textId="77777777" w:rsidR="00AD5504" w:rsidRDefault="00AD5504" w:rsidP="00AD5504">
      <w:pPr>
        <w:spacing w:after="0" w:line="240" w:lineRule="auto"/>
      </w:pPr>
      <w:r>
        <w:separator/>
      </w:r>
    </w:p>
  </w:footnote>
  <w:footnote w:type="continuationSeparator" w:id="0">
    <w:p w14:paraId="2EF0363F" w14:textId="77777777" w:rsidR="00AD5504" w:rsidRDefault="00AD5504" w:rsidP="00AD55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04"/>
    <w:rsid w:val="000304BB"/>
    <w:rsid w:val="00382F4C"/>
    <w:rsid w:val="00AD5504"/>
    <w:rsid w:val="00CF156E"/>
    <w:rsid w:val="00EB599C"/>
    <w:rsid w:val="00F11D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EC08"/>
  <w15:chartTrackingRefBased/>
  <w15:docId w15:val="{BAC5A8F7-3F18-4E00-8DF7-9F790F35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5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5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5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5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5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5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5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5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5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5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5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5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504"/>
    <w:rPr>
      <w:rFonts w:eastAsiaTheme="majorEastAsia" w:cstheme="majorBidi"/>
      <w:color w:val="272727" w:themeColor="text1" w:themeTint="D8"/>
    </w:rPr>
  </w:style>
  <w:style w:type="paragraph" w:styleId="Title">
    <w:name w:val="Title"/>
    <w:basedOn w:val="Normal"/>
    <w:next w:val="Normal"/>
    <w:link w:val="TitleChar"/>
    <w:uiPriority w:val="10"/>
    <w:qFormat/>
    <w:rsid w:val="00AD5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5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504"/>
    <w:pPr>
      <w:spacing w:before="160"/>
      <w:jc w:val="center"/>
    </w:pPr>
    <w:rPr>
      <w:i/>
      <w:iCs/>
      <w:color w:val="404040" w:themeColor="text1" w:themeTint="BF"/>
    </w:rPr>
  </w:style>
  <w:style w:type="character" w:customStyle="1" w:styleId="QuoteChar">
    <w:name w:val="Quote Char"/>
    <w:basedOn w:val="DefaultParagraphFont"/>
    <w:link w:val="Quote"/>
    <w:uiPriority w:val="29"/>
    <w:rsid w:val="00AD5504"/>
    <w:rPr>
      <w:i/>
      <w:iCs/>
      <w:color w:val="404040" w:themeColor="text1" w:themeTint="BF"/>
    </w:rPr>
  </w:style>
  <w:style w:type="paragraph" w:styleId="ListParagraph">
    <w:name w:val="List Paragraph"/>
    <w:basedOn w:val="Normal"/>
    <w:uiPriority w:val="34"/>
    <w:qFormat/>
    <w:rsid w:val="00AD5504"/>
    <w:pPr>
      <w:ind w:left="720"/>
      <w:contextualSpacing/>
    </w:pPr>
  </w:style>
  <w:style w:type="character" w:styleId="IntenseEmphasis">
    <w:name w:val="Intense Emphasis"/>
    <w:basedOn w:val="DefaultParagraphFont"/>
    <w:uiPriority w:val="21"/>
    <w:qFormat/>
    <w:rsid w:val="00AD5504"/>
    <w:rPr>
      <w:i/>
      <w:iCs/>
      <w:color w:val="0F4761" w:themeColor="accent1" w:themeShade="BF"/>
    </w:rPr>
  </w:style>
  <w:style w:type="paragraph" w:styleId="IntenseQuote">
    <w:name w:val="Intense Quote"/>
    <w:basedOn w:val="Normal"/>
    <w:next w:val="Normal"/>
    <w:link w:val="IntenseQuoteChar"/>
    <w:uiPriority w:val="30"/>
    <w:qFormat/>
    <w:rsid w:val="00AD5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504"/>
    <w:rPr>
      <w:i/>
      <w:iCs/>
      <w:color w:val="0F4761" w:themeColor="accent1" w:themeShade="BF"/>
    </w:rPr>
  </w:style>
  <w:style w:type="character" w:styleId="IntenseReference">
    <w:name w:val="Intense Reference"/>
    <w:basedOn w:val="DefaultParagraphFont"/>
    <w:uiPriority w:val="32"/>
    <w:qFormat/>
    <w:rsid w:val="00AD5504"/>
    <w:rPr>
      <w:b/>
      <w:bCs/>
      <w:smallCaps/>
      <w:color w:val="0F4761" w:themeColor="accent1" w:themeShade="BF"/>
      <w:spacing w:val="5"/>
    </w:rPr>
  </w:style>
  <w:style w:type="table" w:styleId="TableGrid">
    <w:name w:val="Table Grid"/>
    <w:basedOn w:val="TableNormal"/>
    <w:uiPriority w:val="39"/>
    <w:rsid w:val="00AD5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D5504"/>
    <w:rPr>
      <w:color w:val="467886" w:themeColor="hyperlink"/>
      <w:u w:val="single"/>
    </w:rPr>
  </w:style>
  <w:style w:type="paragraph" w:customStyle="1" w:styleId="Default">
    <w:name w:val="Default"/>
    <w:rsid w:val="00AD5504"/>
    <w:pPr>
      <w:autoSpaceDE w:val="0"/>
      <w:autoSpaceDN w:val="0"/>
      <w:adjustRightInd w:val="0"/>
      <w:spacing w:after="0" w:line="240" w:lineRule="auto"/>
    </w:pPr>
    <w:rPr>
      <w:rFonts w:ascii="Calibri" w:hAnsi="Calibri" w:cs="Calibri"/>
      <w:color w:val="000000"/>
      <w:kern w:val="0"/>
    </w:rPr>
  </w:style>
  <w:style w:type="paragraph" w:styleId="EndnoteText">
    <w:name w:val="endnote text"/>
    <w:basedOn w:val="Normal"/>
    <w:link w:val="EndnoteTextChar"/>
    <w:uiPriority w:val="99"/>
    <w:semiHidden/>
    <w:unhideWhenUsed/>
    <w:rsid w:val="00AD55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5504"/>
    <w:rPr>
      <w:sz w:val="20"/>
      <w:szCs w:val="20"/>
    </w:rPr>
  </w:style>
  <w:style w:type="character" w:styleId="EndnoteReference">
    <w:name w:val="endnote reference"/>
    <w:basedOn w:val="DefaultParagraphFont"/>
    <w:uiPriority w:val="99"/>
    <w:semiHidden/>
    <w:unhideWhenUsed/>
    <w:rsid w:val="00AD55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4805">
      <w:bodyDiv w:val="1"/>
      <w:marLeft w:val="0"/>
      <w:marRight w:val="0"/>
      <w:marTop w:val="0"/>
      <w:marBottom w:val="0"/>
      <w:divBdr>
        <w:top w:val="none" w:sz="0" w:space="0" w:color="auto"/>
        <w:left w:val="none" w:sz="0" w:space="0" w:color="auto"/>
        <w:bottom w:val="none" w:sz="0" w:space="0" w:color="auto"/>
        <w:right w:val="none" w:sz="0" w:space="0" w:color="auto"/>
      </w:divBdr>
    </w:div>
    <w:div w:id="295531313">
      <w:bodyDiv w:val="1"/>
      <w:marLeft w:val="0"/>
      <w:marRight w:val="0"/>
      <w:marTop w:val="0"/>
      <w:marBottom w:val="0"/>
      <w:divBdr>
        <w:top w:val="none" w:sz="0" w:space="0" w:color="auto"/>
        <w:left w:val="none" w:sz="0" w:space="0" w:color="auto"/>
        <w:bottom w:val="none" w:sz="0" w:space="0" w:color="auto"/>
        <w:right w:val="none" w:sz="0" w:space="0" w:color="auto"/>
      </w:divBdr>
    </w:div>
    <w:div w:id="572087878">
      <w:bodyDiv w:val="1"/>
      <w:marLeft w:val="0"/>
      <w:marRight w:val="0"/>
      <w:marTop w:val="0"/>
      <w:marBottom w:val="0"/>
      <w:divBdr>
        <w:top w:val="none" w:sz="0" w:space="0" w:color="auto"/>
        <w:left w:val="none" w:sz="0" w:space="0" w:color="auto"/>
        <w:bottom w:val="none" w:sz="0" w:space="0" w:color="auto"/>
        <w:right w:val="none" w:sz="0" w:space="0" w:color="auto"/>
      </w:divBdr>
    </w:div>
    <w:div w:id="689723663">
      <w:bodyDiv w:val="1"/>
      <w:marLeft w:val="0"/>
      <w:marRight w:val="0"/>
      <w:marTop w:val="0"/>
      <w:marBottom w:val="0"/>
      <w:divBdr>
        <w:top w:val="none" w:sz="0" w:space="0" w:color="auto"/>
        <w:left w:val="none" w:sz="0" w:space="0" w:color="auto"/>
        <w:bottom w:val="none" w:sz="0" w:space="0" w:color="auto"/>
        <w:right w:val="none" w:sz="0" w:space="0" w:color="auto"/>
      </w:divBdr>
    </w:div>
    <w:div w:id="949627133">
      <w:bodyDiv w:val="1"/>
      <w:marLeft w:val="0"/>
      <w:marRight w:val="0"/>
      <w:marTop w:val="0"/>
      <w:marBottom w:val="0"/>
      <w:divBdr>
        <w:top w:val="none" w:sz="0" w:space="0" w:color="auto"/>
        <w:left w:val="none" w:sz="0" w:space="0" w:color="auto"/>
        <w:bottom w:val="none" w:sz="0" w:space="0" w:color="auto"/>
        <w:right w:val="none" w:sz="0" w:space="0" w:color="auto"/>
      </w:divBdr>
    </w:div>
    <w:div w:id="1052534169">
      <w:bodyDiv w:val="1"/>
      <w:marLeft w:val="0"/>
      <w:marRight w:val="0"/>
      <w:marTop w:val="0"/>
      <w:marBottom w:val="0"/>
      <w:divBdr>
        <w:top w:val="none" w:sz="0" w:space="0" w:color="auto"/>
        <w:left w:val="none" w:sz="0" w:space="0" w:color="auto"/>
        <w:bottom w:val="none" w:sz="0" w:space="0" w:color="auto"/>
        <w:right w:val="none" w:sz="0" w:space="0" w:color="auto"/>
      </w:divBdr>
    </w:div>
    <w:div w:id="1137646261">
      <w:bodyDiv w:val="1"/>
      <w:marLeft w:val="0"/>
      <w:marRight w:val="0"/>
      <w:marTop w:val="0"/>
      <w:marBottom w:val="0"/>
      <w:divBdr>
        <w:top w:val="none" w:sz="0" w:space="0" w:color="auto"/>
        <w:left w:val="none" w:sz="0" w:space="0" w:color="auto"/>
        <w:bottom w:val="none" w:sz="0" w:space="0" w:color="auto"/>
        <w:right w:val="none" w:sz="0" w:space="0" w:color="auto"/>
      </w:divBdr>
    </w:div>
    <w:div w:id="1208756247">
      <w:bodyDiv w:val="1"/>
      <w:marLeft w:val="0"/>
      <w:marRight w:val="0"/>
      <w:marTop w:val="0"/>
      <w:marBottom w:val="0"/>
      <w:divBdr>
        <w:top w:val="none" w:sz="0" w:space="0" w:color="auto"/>
        <w:left w:val="none" w:sz="0" w:space="0" w:color="auto"/>
        <w:bottom w:val="none" w:sz="0" w:space="0" w:color="auto"/>
        <w:right w:val="none" w:sz="0" w:space="0" w:color="auto"/>
      </w:divBdr>
    </w:div>
    <w:div w:id="1241058397">
      <w:bodyDiv w:val="1"/>
      <w:marLeft w:val="0"/>
      <w:marRight w:val="0"/>
      <w:marTop w:val="0"/>
      <w:marBottom w:val="0"/>
      <w:divBdr>
        <w:top w:val="none" w:sz="0" w:space="0" w:color="auto"/>
        <w:left w:val="none" w:sz="0" w:space="0" w:color="auto"/>
        <w:bottom w:val="none" w:sz="0" w:space="0" w:color="auto"/>
        <w:right w:val="none" w:sz="0" w:space="0" w:color="auto"/>
      </w:divBdr>
    </w:div>
    <w:div w:id="1264652109">
      <w:bodyDiv w:val="1"/>
      <w:marLeft w:val="0"/>
      <w:marRight w:val="0"/>
      <w:marTop w:val="0"/>
      <w:marBottom w:val="0"/>
      <w:divBdr>
        <w:top w:val="none" w:sz="0" w:space="0" w:color="auto"/>
        <w:left w:val="none" w:sz="0" w:space="0" w:color="auto"/>
        <w:bottom w:val="none" w:sz="0" w:space="0" w:color="auto"/>
        <w:right w:val="none" w:sz="0" w:space="0" w:color="auto"/>
      </w:divBdr>
    </w:div>
    <w:div w:id="1377586231">
      <w:bodyDiv w:val="1"/>
      <w:marLeft w:val="0"/>
      <w:marRight w:val="0"/>
      <w:marTop w:val="0"/>
      <w:marBottom w:val="0"/>
      <w:divBdr>
        <w:top w:val="none" w:sz="0" w:space="0" w:color="auto"/>
        <w:left w:val="none" w:sz="0" w:space="0" w:color="auto"/>
        <w:bottom w:val="none" w:sz="0" w:space="0" w:color="auto"/>
        <w:right w:val="none" w:sz="0" w:space="0" w:color="auto"/>
      </w:divBdr>
    </w:div>
    <w:div w:id="1499467269">
      <w:bodyDiv w:val="1"/>
      <w:marLeft w:val="0"/>
      <w:marRight w:val="0"/>
      <w:marTop w:val="0"/>
      <w:marBottom w:val="0"/>
      <w:divBdr>
        <w:top w:val="none" w:sz="0" w:space="0" w:color="auto"/>
        <w:left w:val="none" w:sz="0" w:space="0" w:color="auto"/>
        <w:bottom w:val="none" w:sz="0" w:space="0" w:color="auto"/>
        <w:right w:val="none" w:sz="0" w:space="0" w:color="auto"/>
      </w:divBdr>
    </w:div>
    <w:div w:id="1500927963">
      <w:bodyDiv w:val="1"/>
      <w:marLeft w:val="0"/>
      <w:marRight w:val="0"/>
      <w:marTop w:val="0"/>
      <w:marBottom w:val="0"/>
      <w:divBdr>
        <w:top w:val="none" w:sz="0" w:space="0" w:color="auto"/>
        <w:left w:val="none" w:sz="0" w:space="0" w:color="auto"/>
        <w:bottom w:val="none" w:sz="0" w:space="0" w:color="auto"/>
        <w:right w:val="none" w:sz="0" w:space="0" w:color="auto"/>
      </w:divBdr>
    </w:div>
    <w:div w:id="1548832153">
      <w:bodyDiv w:val="1"/>
      <w:marLeft w:val="0"/>
      <w:marRight w:val="0"/>
      <w:marTop w:val="0"/>
      <w:marBottom w:val="0"/>
      <w:divBdr>
        <w:top w:val="none" w:sz="0" w:space="0" w:color="auto"/>
        <w:left w:val="none" w:sz="0" w:space="0" w:color="auto"/>
        <w:bottom w:val="none" w:sz="0" w:space="0" w:color="auto"/>
        <w:right w:val="none" w:sz="0" w:space="0" w:color="auto"/>
      </w:divBdr>
    </w:div>
    <w:div w:id="1575121210">
      <w:bodyDiv w:val="1"/>
      <w:marLeft w:val="0"/>
      <w:marRight w:val="0"/>
      <w:marTop w:val="0"/>
      <w:marBottom w:val="0"/>
      <w:divBdr>
        <w:top w:val="none" w:sz="0" w:space="0" w:color="auto"/>
        <w:left w:val="none" w:sz="0" w:space="0" w:color="auto"/>
        <w:bottom w:val="none" w:sz="0" w:space="0" w:color="auto"/>
        <w:right w:val="none" w:sz="0" w:space="0" w:color="auto"/>
      </w:divBdr>
    </w:div>
    <w:div w:id="1599368653">
      <w:bodyDiv w:val="1"/>
      <w:marLeft w:val="0"/>
      <w:marRight w:val="0"/>
      <w:marTop w:val="0"/>
      <w:marBottom w:val="0"/>
      <w:divBdr>
        <w:top w:val="none" w:sz="0" w:space="0" w:color="auto"/>
        <w:left w:val="none" w:sz="0" w:space="0" w:color="auto"/>
        <w:bottom w:val="none" w:sz="0" w:space="0" w:color="auto"/>
        <w:right w:val="none" w:sz="0" w:space="0" w:color="auto"/>
      </w:divBdr>
    </w:div>
    <w:div w:id="1872263253">
      <w:bodyDiv w:val="1"/>
      <w:marLeft w:val="0"/>
      <w:marRight w:val="0"/>
      <w:marTop w:val="0"/>
      <w:marBottom w:val="0"/>
      <w:divBdr>
        <w:top w:val="none" w:sz="0" w:space="0" w:color="auto"/>
        <w:left w:val="none" w:sz="0" w:space="0" w:color="auto"/>
        <w:bottom w:val="none" w:sz="0" w:space="0" w:color="auto"/>
        <w:right w:val="none" w:sz="0" w:space="0" w:color="auto"/>
      </w:divBdr>
    </w:div>
    <w:div w:id="204586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dmsdocument/29108-mr-and-mrs-p-v-mne-f-final-statement" TargetMode="External"/><Relationship Id="rId13" Type="http://schemas.openxmlformats.org/officeDocument/2006/relationships/hyperlink" Target="https://www.mbie.govt.nz/dmsdocument/29107-mr-and-mrs-g-v-mne-i-final-statement" TargetMode="External"/><Relationship Id="rId18" Type="http://schemas.openxmlformats.org/officeDocument/2006/relationships/hyperlink" Target="https://www.mbie.govt.nz/dmsdocument/1669-mr-and-mrs-y-mne-x-pdf"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mbie.govt.nz/dmsdocument/17190-specific-instance-complaint-ngo-soul-mne-fletchers-building-final-statement-by-the-ncp" TargetMode="External"/><Relationship Id="rId12" Type="http://schemas.openxmlformats.org/officeDocument/2006/relationships/hyperlink" Target="https://www.mbie.govt.nz/dmsdocument/29110-mr-c-v-mne-a-final-statement" TargetMode="External"/><Relationship Id="rId17" Type="http://schemas.openxmlformats.org/officeDocument/2006/relationships/hyperlink" Target="https://www.mbie.govt.nz/dmsdocument/28508-messrs-r-and-j-v-arrow-international-final-statement-pdf" TargetMode="External"/><Relationship Id="rId2" Type="http://schemas.openxmlformats.org/officeDocument/2006/relationships/settings" Target="settings.xml"/><Relationship Id="rId16" Type="http://schemas.openxmlformats.org/officeDocument/2006/relationships/hyperlink" Target="https://www.mbie.govt.nz/dmsdocument/17193-specific-instance-complaint-mr-and-mrs-b-mne-i-final-statement-by-the-ncp"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mbie.govt.nz/dmsdocument/17190-specific-instance-complaint-ngo-soul-mne-fletchers-building-final-statement-by-the-ncp" TargetMode="External"/><Relationship Id="rId11" Type="http://schemas.openxmlformats.org/officeDocument/2006/relationships/hyperlink" Target="https://www.mbie.govt.nz/dmsdocument/29111-ms-c-v-mne-i-final-statement" TargetMode="External"/><Relationship Id="rId5" Type="http://schemas.openxmlformats.org/officeDocument/2006/relationships/endnotes" Target="endnotes.xml"/><Relationship Id="rId15" Type="http://schemas.openxmlformats.org/officeDocument/2006/relationships/hyperlink" Target="https://www.mbie.govt.nz/dmsdocument/17193-specific-instance-complaint-mr-and-mrs-b-mne-i-final-statement-by-the-ncp" TargetMode="External"/><Relationship Id="rId10" Type="http://schemas.openxmlformats.org/officeDocument/2006/relationships/hyperlink" Target="https://www.mbie.govt.nz/dmsdocument/29103-mr-and-mrs-t-v-mne-f-final-statement" TargetMode="External"/><Relationship Id="rId19" Type="http://schemas.openxmlformats.org/officeDocument/2006/relationships/hyperlink" Target="https://www.mbie.govt.nz/dmsdocument/1669-mr-and-mrs-y-mne-x-pdf" TargetMode="External"/><Relationship Id="rId4" Type="http://schemas.openxmlformats.org/officeDocument/2006/relationships/footnotes" Target="footnotes.xml"/><Relationship Id="rId9" Type="http://schemas.openxmlformats.org/officeDocument/2006/relationships/hyperlink" Target="https://www.mbie.govt.nz/dmsdocument/29112-ms-n-v-mne-f-final-statement" TargetMode="External"/><Relationship Id="rId14" Type="http://schemas.openxmlformats.org/officeDocument/2006/relationships/hyperlink" Target="https://www.mbie.govt.nz/dmsdocument/1670-mr-and-mrs-c-southern-respon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2079</Words>
  <Characters>11853</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specific instances handled by New Zealand's National Contact Point</dc:title>
  <dc:subject/>
  <dc:creator>Ministry of Business, Innovation &amp; Employment</dc:creator>
  <cp:keywords>MAKO ID 177612036</cp:keywords>
  <dc:description/>
  <dcterms:created xsi:type="dcterms:W3CDTF">2025-07-30T22:45:00Z</dcterms:created>
  <dcterms:modified xsi:type="dcterms:W3CDTF">2025-08-05T22:22:00Z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2025-07-30T23:50:59Z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c5a80293-3eeb-47bd-bc09-18c9e46ed742</vt:lpwstr>
  </property>
  <property fmtid="{D5CDD505-2E9C-101B-9397-08002B2CF9AE}" pid="8" name="MSIP_Label_738466f7-346c-47bb-a4d2-4a6558d61975_ContentBits">
    <vt:lpwstr>0</vt:lpwstr>
  </property>
  <property fmtid="{D5CDD505-2E9C-101B-9397-08002B2CF9AE}" pid="9" name="MSIP_Label_738466f7-346c-47bb-a4d2-4a6558d61975_Tag">
    <vt:lpwstr>10, 0, 1, 1</vt:lpwstr>
  </property>
</Properties>
</file>