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65E8" w14:textId="305C45D3" w:rsidR="007C0575" w:rsidRPr="001C2F8F" w:rsidRDefault="00EF55A6" w:rsidP="001C2F8F">
      <w:pPr>
        <w:jc w:val="center"/>
        <w:rPr>
          <w:b/>
          <w:bCs/>
          <w:sz w:val="24"/>
          <w:szCs w:val="24"/>
        </w:rPr>
      </w:pPr>
      <w:r>
        <w:rPr>
          <w:b/>
          <w:bCs/>
          <w:sz w:val="24"/>
          <w:szCs w:val="24"/>
        </w:rPr>
        <w:t xml:space="preserve">New Zealand </w:t>
      </w:r>
      <w:r w:rsidR="007C0575" w:rsidRPr="001C2F8F">
        <w:rPr>
          <w:b/>
          <w:bCs/>
          <w:sz w:val="24"/>
          <w:szCs w:val="24"/>
        </w:rPr>
        <w:t>National Contact Point Liaison Group Meeting</w:t>
      </w:r>
      <w:r w:rsidR="001C2F8F" w:rsidRPr="001C2F8F">
        <w:rPr>
          <w:b/>
          <w:bCs/>
          <w:sz w:val="24"/>
          <w:szCs w:val="24"/>
        </w:rPr>
        <w:t xml:space="preserve">: Minutes </w:t>
      </w:r>
      <w:r w:rsidR="00063B98">
        <w:rPr>
          <w:b/>
          <w:bCs/>
          <w:sz w:val="24"/>
          <w:szCs w:val="24"/>
        </w:rPr>
        <w:t>5 December</w:t>
      </w:r>
      <w:r w:rsidR="002346AA">
        <w:rPr>
          <w:b/>
          <w:bCs/>
          <w:sz w:val="24"/>
          <w:szCs w:val="24"/>
        </w:rPr>
        <w:t xml:space="preserve"> 2024</w:t>
      </w:r>
    </w:p>
    <w:tbl>
      <w:tblPr>
        <w:tblStyle w:val="TableGrid"/>
        <w:tblW w:w="0" w:type="auto"/>
        <w:tblLook w:val="04A0" w:firstRow="1" w:lastRow="0" w:firstColumn="1" w:lastColumn="0" w:noHBand="0" w:noVBand="1"/>
      </w:tblPr>
      <w:tblGrid>
        <w:gridCol w:w="891"/>
        <w:gridCol w:w="2932"/>
        <w:gridCol w:w="6553"/>
        <w:gridCol w:w="80"/>
      </w:tblGrid>
      <w:tr w:rsidR="004839A1" w14:paraId="0884D627" w14:textId="77777777" w:rsidTr="003759E7">
        <w:tc>
          <w:tcPr>
            <w:tcW w:w="3823" w:type="dxa"/>
            <w:gridSpan w:val="2"/>
          </w:tcPr>
          <w:p w14:paraId="6833B82B" w14:textId="77777777" w:rsidR="004839A1" w:rsidRDefault="004839A1" w:rsidP="004839A1">
            <w:pPr>
              <w:rPr>
                <w:b/>
                <w:bCs/>
              </w:rPr>
            </w:pPr>
            <w:r>
              <w:rPr>
                <w:b/>
                <w:bCs/>
              </w:rPr>
              <w:t>Attendees</w:t>
            </w:r>
          </w:p>
          <w:p w14:paraId="0EC72281" w14:textId="77777777" w:rsidR="004839A1" w:rsidRDefault="004839A1" w:rsidP="004839A1">
            <w:pPr>
              <w:rPr>
                <w:b/>
                <w:bCs/>
              </w:rPr>
            </w:pPr>
          </w:p>
          <w:p w14:paraId="23EEEA6C" w14:textId="77777777" w:rsidR="004839A1" w:rsidRDefault="004839A1" w:rsidP="004839A1">
            <w:pPr>
              <w:rPr>
                <w:b/>
                <w:bCs/>
              </w:rPr>
            </w:pPr>
          </w:p>
          <w:p w14:paraId="4644742C" w14:textId="77777777" w:rsidR="004839A1" w:rsidRDefault="004839A1" w:rsidP="004839A1">
            <w:pPr>
              <w:rPr>
                <w:b/>
                <w:bCs/>
              </w:rPr>
            </w:pPr>
          </w:p>
          <w:p w14:paraId="4AF45E22" w14:textId="77777777" w:rsidR="004839A1" w:rsidRDefault="004839A1" w:rsidP="004839A1">
            <w:pPr>
              <w:rPr>
                <w:b/>
                <w:bCs/>
              </w:rPr>
            </w:pPr>
          </w:p>
          <w:p w14:paraId="26E7A617" w14:textId="77777777" w:rsidR="004839A1" w:rsidRDefault="004839A1" w:rsidP="004839A1">
            <w:pPr>
              <w:rPr>
                <w:b/>
                <w:bCs/>
              </w:rPr>
            </w:pPr>
          </w:p>
          <w:p w14:paraId="3362495C" w14:textId="77777777" w:rsidR="004839A1" w:rsidRDefault="004839A1" w:rsidP="004839A1">
            <w:pPr>
              <w:rPr>
                <w:b/>
                <w:bCs/>
              </w:rPr>
            </w:pPr>
          </w:p>
          <w:p w14:paraId="0873D202" w14:textId="5C0E44CF" w:rsidR="004839A1" w:rsidRDefault="004839A1" w:rsidP="004839A1">
            <w:pPr>
              <w:rPr>
                <w:b/>
                <w:bCs/>
              </w:rPr>
            </w:pPr>
          </w:p>
          <w:p w14:paraId="2A72AFE3" w14:textId="0CD26685" w:rsidR="003C4C49" w:rsidRDefault="003C4C49" w:rsidP="004839A1">
            <w:pPr>
              <w:rPr>
                <w:b/>
                <w:bCs/>
              </w:rPr>
            </w:pPr>
          </w:p>
          <w:p w14:paraId="7EB3A1A1" w14:textId="4C4C88DC" w:rsidR="003C4C49" w:rsidRDefault="003C4C49" w:rsidP="004839A1">
            <w:pPr>
              <w:rPr>
                <w:b/>
                <w:bCs/>
              </w:rPr>
            </w:pPr>
          </w:p>
          <w:p w14:paraId="2F2B4500" w14:textId="2A02EC1D" w:rsidR="003C4C49" w:rsidRDefault="003C4C49" w:rsidP="004839A1">
            <w:pPr>
              <w:rPr>
                <w:b/>
                <w:bCs/>
              </w:rPr>
            </w:pPr>
          </w:p>
          <w:p w14:paraId="4D28E994" w14:textId="3595B2D3" w:rsidR="003C4C49" w:rsidRDefault="003C4C49" w:rsidP="004839A1">
            <w:pPr>
              <w:rPr>
                <w:b/>
                <w:bCs/>
              </w:rPr>
            </w:pPr>
          </w:p>
          <w:p w14:paraId="0EBDE389" w14:textId="77777777" w:rsidR="003D7F98" w:rsidRDefault="003D7F98" w:rsidP="004839A1">
            <w:pPr>
              <w:rPr>
                <w:b/>
                <w:bCs/>
              </w:rPr>
            </w:pPr>
          </w:p>
          <w:p w14:paraId="42EAA3C5" w14:textId="77777777" w:rsidR="004D7A52" w:rsidRDefault="004D7A52" w:rsidP="004839A1">
            <w:pPr>
              <w:rPr>
                <w:b/>
                <w:bCs/>
              </w:rPr>
            </w:pPr>
          </w:p>
          <w:p w14:paraId="1E91A68D" w14:textId="77777777" w:rsidR="004F0942" w:rsidRDefault="004F0942" w:rsidP="004839A1">
            <w:pPr>
              <w:rPr>
                <w:b/>
                <w:bCs/>
              </w:rPr>
            </w:pPr>
          </w:p>
          <w:p w14:paraId="5D462509" w14:textId="77777777" w:rsidR="004F0942" w:rsidRDefault="004F0942" w:rsidP="004839A1">
            <w:pPr>
              <w:rPr>
                <w:b/>
                <w:bCs/>
              </w:rPr>
            </w:pPr>
          </w:p>
          <w:p w14:paraId="33DB299D" w14:textId="77777777" w:rsidR="00C4353E" w:rsidRDefault="00C4353E" w:rsidP="004839A1">
            <w:pPr>
              <w:rPr>
                <w:b/>
                <w:bCs/>
              </w:rPr>
            </w:pPr>
          </w:p>
          <w:p w14:paraId="6B285AF7" w14:textId="77777777" w:rsidR="00C4353E" w:rsidRDefault="00C4353E" w:rsidP="004839A1">
            <w:pPr>
              <w:rPr>
                <w:b/>
                <w:bCs/>
              </w:rPr>
            </w:pPr>
          </w:p>
          <w:p w14:paraId="044274EA" w14:textId="04D49A19" w:rsidR="004839A1" w:rsidRPr="003F6206" w:rsidRDefault="004839A1" w:rsidP="004839A1">
            <w:pPr>
              <w:rPr>
                <w:b/>
                <w:bCs/>
              </w:rPr>
            </w:pPr>
            <w:r>
              <w:rPr>
                <w:b/>
                <w:bCs/>
              </w:rPr>
              <w:t>Apologies</w:t>
            </w:r>
          </w:p>
        </w:tc>
        <w:tc>
          <w:tcPr>
            <w:tcW w:w="6633" w:type="dxa"/>
            <w:gridSpan w:val="2"/>
          </w:tcPr>
          <w:p w14:paraId="7E342451" w14:textId="2E779135" w:rsidR="004839A1" w:rsidRDefault="004F0942" w:rsidP="004D7A52">
            <w:pPr>
              <w:pStyle w:val="ListParagraph"/>
              <w:numPr>
                <w:ilvl w:val="0"/>
                <w:numId w:val="9"/>
              </w:numPr>
            </w:pPr>
            <w:r>
              <w:t>Ministry of Business Innovation and Employment (MBIE)</w:t>
            </w:r>
            <w:r w:rsidR="004F519B">
              <w:t xml:space="preserve"> </w:t>
            </w:r>
            <w:r>
              <w:t>–</w:t>
            </w:r>
            <w:r w:rsidR="004F519B">
              <w:t xml:space="preserve"> </w:t>
            </w:r>
            <w:r w:rsidR="004D7A52">
              <w:t xml:space="preserve">National Contact Point </w:t>
            </w:r>
            <w:r w:rsidR="003666ED">
              <w:t>(NCP)</w:t>
            </w:r>
            <w:r w:rsidR="004D7A52">
              <w:t xml:space="preserve">/Liaison Group Chair; </w:t>
            </w:r>
            <w:r w:rsidR="004F519B">
              <w:t>NCP Secretariat</w:t>
            </w:r>
            <w:r w:rsidR="004D7A52">
              <w:t xml:space="preserve"> staff</w:t>
            </w:r>
          </w:p>
          <w:p w14:paraId="1FA74584" w14:textId="55AE513C" w:rsidR="004F519B" w:rsidRDefault="004D7A52" w:rsidP="004F0942">
            <w:pPr>
              <w:pStyle w:val="ListParagraph"/>
              <w:numPr>
                <w:ilvl w:val="0"/>
                <w:numId w:val="9"/>
              </w:numPr>
            </w:pPr>
            <w:r>
              <w:t>Other</w:t>
            </w:r>
            <w:r w:rsidR="00ED318C">
              <w:t xml:space="preserve"> MBIE</w:t>
            </w:r>
            <w:r w:rsidR="00F02BCA">
              <w:t xml:space="preserve"> – </w:t>
            </w:r>
            <w:r w:rsidR="004F519B">
              <w:t>International Labour Policy</w:t>
            </w:r>
          </w:p>
          <w:p w14:paraId="25168D38" w14:textId="1C1675FC" w:rsidR="004F519B" w:rsidRDefault="004F0942" w:rsidP="004F0942">
            <w:pPr>
              <w:pStyle w:val="ListParagraph"/>
              <w:numPr>
                <w:ilvl w:val="0"/>
                <w:numId w:val="9"/>
              </w:numPr>
            </w:pPr>
            <w:r>
              <w:t>Ministry for Primary Industries</w:t>
            </w:r>
            <w:r w:rsidR="00FA5272">
              <w:t xml:space="preserve"> – International Trade</w:t>
            </w:r>
          </w:p>
          <w:p w14:paraId="79C4A2F2" w14:textId="4D896C6E" w:rsidR="004F519B" w:rsidRDefault="00ED318C" w:rsidP="004F0942">
            <w:pPr>
              <w:pStyle w:val="ListParagraph"/>
              <w:numPr>
                <w:ilvl w:val="0"/>
                <w:numId w:val="9"/>
              </w:numPr>
            </w:pPr>
            <w:r>
              <w:t xml:space="preserve">Ministry of Justice </w:t>
            </w:r>
            <w:r w:rsidR="00F02BCA">
              <w:t>– Human Rights</w:t>
            </w:r>
          </w:p>
          <w:p w14:paraId="7D5C8927" w14:textId="7A12CED3" w:rsidR="004F519B" w:rsidRDefault="004F0942" w:rsidP="004F0942">
            <w:pPr>
              <w:pStyle w:val="ListParagraph"/>
              <w:numPr>
                <w:ilvl w:val="0"/>
                <w:numId w:val="9"/>
              </w:numPr>
            </w:pPr>
            <w:r>
              <w:t>Inland Revenue Department</w:t>
            </w:r>
            <w:r w:rsidR="00FA5272">
              <w:t xml:space="preserve"> - </w:t>
            </w:r>
            <w:r w:rsidR="00FA5272" w:rsidRPr="00FA5272">
              <w:t>Policy and Regulatory Stewardship</w:t>
            </w:r>
          </w:p>
          <w:p w14:paraId="47E2F376" w14:textId="5F637664" w:rsidR="004F519B" w:rsidRDefault="004F519B" w:rsidP="004F0942">
            <w:pPr>
              <w:pStyle w:val="ListParagraph"/>
              <w:numPr>
                <w:ilvl w:val="0"/>
                <w:numId w:val="9"/>
              </w:numPr>
            </w:pPr>
            <w:r>
              <w:t>Human Rights Commission</w:t>
            </w:r>
          </w:p>
          <w:p w14:paraId="7BC60C50" w14:textId="0E3710B7" w:rsidR="00FA5272" w:rsidRDefault="004F519B" w:rsidP="004D7A52">
            <w:pPr>
              <w:pStyle w:val="ListParagraph"/>
              <w:numPr>
                <w:ilvl w:val="0"/>
                <w:numId w:val="9"/>
              </w:numPr>
            </w:pPr>
            <w:r>
              <w:t>Professor Petra Butler</w:t>
            </w:r>
          </w:p>
          <w:p w14:paraId="2D28B8F4" w14:textId="68611FD9" w:rsidR="00ED318C" w:rsidRDefault="00ED318C" w:rsidP="004D7A52">
            <w:pPr>
              <w:pStyle w:val="ListParagraph"/>
              <w:numPr>
                <w:ilvl w:val="0"/>
                <w:numId w:val="9"/>
              </w:numPr>
            </w:pPr>
            <w:r>
              <w:t>Business New Zealand</w:t>
            </w:r>
          </w:p>
          <w:p w14:paraId="79FD4889" w14:textId="77777777" w:rsidR="00C4353E" w:rsidRDefault="00C4353E" w:rsidP="004D7A52"/>
          <w:p w14:paraId="2E9DEDD7" w14:textId="77777777" w:rsidR="00ED318C" w:rsidRDefault="00ED318C" w:rsidP="004D7A52"/>
          <w:p w14:paraId="4AEFBF99" w14:textId="16B6BEE5" w:rsidR="004F519B" w:rsidRDefault="004F519B" w:rsidP="004F0942">
            <w:pPr>
              <w:pStyle w:val="ListParagraph"/>
              <w:numPr>
                <w:ilvl w:val="0"/>
                <w:numId w:val="9"/>
              </w:numPr>
            </w:pPr>
            <w:r>
              <w:t>Institute of Directors</w:t>
            </w:r>
          </w:p>
          <w:p w14:paraId="37F2671B" w14:textId="77777777" w:rsidR="00ED318C" w:rsidRDefault="00ED318C" w:rsidP="00ED318C">
            <w:pPr>
              <w:pStyle w:val="ListParagraph"/>
              <w:numPr>
                <w:ilvl w:val="0"/>
                <w:numId w:val="9"/>
              </w:numPr>
              <w:spacing w:after="160" w:line="259" w:lineRule="auto"/>
            </w:pPr>
            <w:r>
              <w:t>MBIE – Trade and Supply Chains, Competition Policy</w:t>
            </w:r>
          </w:p>
          <w:p w14:paraId="71C71CE1" w14:textId="5482667A" w:rsidR="00ED318C" w:rsidRDefault="00ED318C" w:rsidP="004F0942">
            <w:pPr>
              <w:pStyle w:val="ListParagraph"/>
              <w:numPr>
                <w:ilvl w:val="0"/>
                <w:numId w:val="9"/>
              </w:numPr>
            </w:pPr>
            <w:r>
              <w:t>Ministry of Justice – Anti-bribery</w:t>
            </w:r>
          </w:p>
          <w:p w14:paraId="30807A8F" w14:textId="4BEA8D80" w:rsidR="00ED318C" w:rsidRDefault="00ED318C" w:rsidP="004F0942">
            <w:pPr>
              <w:pStyle w:val="ListParagraph"/>
              <w:numPr>
                <w:ilvl w:val="0"/>
                <w:numId w:val="9"/>
              </w:numPr>
            </w:pPr>
            <w:r>
              <w:t>Ministry of Foreign Affairs and Trade – Economic Division</w:t>
            </w:r>
          </w:p>
          <w:p w14:paraId="1EC8FA40" w14:textId="77777777" w:rsidR="00ED318C" w:rsidRDefault="00ED318C" w:rsidP="00ED318C">
            <w:pPr>
              <w:pStyle w:val="ListParagraph"/>
              <w:numPr>
                <w:ilvl w:val="0"/>
                <w:numId w:val="9"/>
              </w:numPr>
              <w:spacing w:after="160" w:line="259" w:lineRule="auto"/>
            </w:pPr>
            <w:r>
              <w:t xml:space="preserve">New Zealand Trade and Enterprise – Strategy </w:t>
            </w:r>
          </w:p>
          <w:p w14:paraId="155AE14A" w14:textId="77777777" w:rsidR="00ED318C" w:rsidRDefault="00ED318C" w:rsidP="00ED318C">
            <w:pPr>
              <w:pStyle w:val="ListParagraph"/>
              <w:numPr>
                <w:ilvl w:val="0"/>
                <w:numId w:val="9"/>
              </w:numPr>
              <w:spacing w:after="160" w:line="259" w:lineRule="auto"/>
            </w:pPr>
            <w:r>
              <w:t>Deloitte</w:t>
            </w:r>
          </w:p>
          <w:p w14:paraId="7BB6618B" w14:textId="66CC63C9" w:rsidR="00ED318C" w:rsidRDefault="00ED318C" w:rsidP="00ED318C">
            <w:pPr>
              <w:pStyle w:val="ListParagraph"/>
              <w:numPr>
                <w:ilvl w:val="0"/>
                <w:numId w:val="9"/>
              </w:numPr>
              <w:spacing w:after="160" w:line="259" w:lineRule="auto"/>
            </w:pPr>
            <w:r>
              <w:t xml:space="preserve">Ē </w:t>
            </w:r>
            <w:proofErr w:type="spellStart"/>
            <w:r>
              <w:t>tu</w:t>
            </w:r>
            <w:proofErr w:type="spellEnd"/>
          </w:p>
          <w:p w14:paraId="048BF6B9" w14:textId="464626F1" w:rsidR="001C2F8F" w:rsidRPr="008D28DE" w:rsidRDefault="001C2F8F" w:rsidP="004F519B"/>
        </w:tc>
      </w:tr>
      <w:tr w:rsidR="004839A1" w14:paraId="3AF68074" w14:textId="77777777" w:rsidTr="003759E7">
        <w:tc>
          <w:tcPr>
            <w:tcW w:w="891" w:type="dxa"/>
          </w:tcPr>
          <w:p w14:paraId="09486F95" w14:textId="77777777" w:rsidR="008D28DE" w:rsidRDefault="008D28DE" w:rsidP="004839A1">
            <w:pPr>
              <w:rPr>
                <w:b/>
                <w:bCs/>
                <w:i/>
                <w:iCs/>
              </w:rPr>
            </w:pPr>
          </w:p>
          <w:p w14:paraId="08D44675" w14:textId="5DC92976" w:rsidR="004839A1" w:rsidRPr="003F6206" w:rsidRDefault="004839A1" w:rsidP="004839A1">
            <w:pPr>
              <w:rPr>
                <w:b/>
                <w:bCs/>
                <w:i/>
                <w:iCs/>
              </w:rPr>
            </w:pPr>
            <w:r w:rsidRPr="003F6206">
              <w:rPr>
                <w:b/>
                <w:bCs/>
                <w:i/>
                <w:iCs/>
              </w:rPr>
              <w:t>Item</w:t>
            </w:r>
          </w:p>
        </w:tc>
        <w:tc>
          <w:tcPr>
            <w:tcW w:w="2932" w:type="dxa"/>
          </w:tcPr>
          <w:p w14:paraId="409CA841" w14:textId="77777777" w:rsidR="008D28DE" w:rsidRDefault="008D28DE" w:rsidP="004839A1">
            <w:pPr>
              <w:rPr>
                <w:b/>
                <w:bCs/>
                <w:i/>
                <w:iCs/>
              </w:rPr>
            </w:pPr>
          </w:p>
          <w:p w14:paraId="2DCF4D25" w14:textId="3AED6731" w:rsidR="004839A1" w:rsidRPr="003F6206" w:rsidRDefault="00E84095" w:rsidP="004839A1">
            <w:pPr>
              <w:rPr>
                <w:b/>
                <w:bCs/>
              </w:rPr>
            </w:pPr>
            <w:r w:rsidRPr="003F6206">
              <w:rPr>
                <w:b/>
                <w:bCs/>
                <w:i/>
                <w:iCs/>
              </w:rPr>
              <w:t>Description</w:t>
            </w:r>
            <w:r>
              <w:rPr>
                <w:b/>
                <w:bCs/>
                <w:i/>
                <w:iCs/>
              </w:rPr>
              <w:t>/Attachment</w:t>
            </w:r>
          </w:p>
        </w:tc>
        <w:tc>
          <w:tcPr>
            <w:tcW w:w="6633" w:type="dxa"/>
            <w:gridSpan w:val="2"/>
          </w:tcPr>
          <w:p w14:paraId="076EBAB2" w14:textId="77777777" w:rsidR="008D28DE" w:rsidRDefault="004839A1" w:rsidP="004839A1">
            <w:pPr>
              <w:tabs>
                <w:tab w:val="left" w:pos="1308"/>
                <w:tab w:val="left" w:pos="4152"/>
              </w:tabs>
              <w:rPr>
                <w:b/>
                <w:bCs/>
                <w:i/>
                <w:iCs/>
              </w:rPr>
            </w:pPr>
            <w:r w:rsidRPr="003F6206">
              <w:rPr>
                <w:b/>
                <w:bCs/>
                <w:i/>
                <w:iCs/>
              </w:rPr>
              <w:tab/>
            </w:r>
            <w:r>
              <w:rPr>
                <w:b/>
                <w:bCs/>
                <w:i/>
                <w:iCs/>
              </w:rPr>
              <w:tab/>
            </w:r>
            <w:r w:rsidRPr="003F6206">
              <w:rPr>
                <w:b/>
                <w:bCs/>
                <w:i/>
                <w:iCs/>
              </w:rPr>
              <w:t xml:space="preserve">    </w:t>
            </w:r>
            <w:r>
              <w:rPr>
                <w:b/>
                <w:bCs/>
                <w:i/>
                <w:iCs/>
              </w:rPr>
              <w:t xml:space="preserve">        </w:t>
            </w:r>
          </w:p>
          <w:p w14:paraId="529FB5F8" w14:textId="3DFCFA3C" w:rsidR="004839A1" w:rsidRPr="003F6206" w:rsidRDefault="004839A1" w:rsidP="004839A1">
            <w:pPr>
              <w:tabs>
                <w:tab w:val="left" w:pos="1308"/>
                <w:tab w:val="left" w:pos="4152"/>
              </w:tabs>
              <w:rPr>
                <w:b/>
                <w:bCs/>
                <w:i/>
                <w:iCs/>
              </w:rPr>
            </w:pPr>
            <w:r>
              <w:rPr>
                <w:b/>
                <w:bCs/>
                <w:i/>
                <w:iCs/>
              </w:rPr>
              <w:t>Notes/Action</w:t>
            </w:r>
          </w:p>
        </w:tc>
      </w:tr>
      <w:tr w:rsidR="00E84095" w14:paraId="4BDF7A0E" w14:textId="77777777" w:rsidTr="003759E7">
        <w:tc>
          <w:tcPr>
            <w:tcW w:w="891" w:type="dxa"/>
          </w:tcPr>
          <w:p w14:paraId="27DED9C7" w14:textId="77777777" w:rsidR="00E84095" w:rsidRDefault="00E84095" w:rsidP="004839A1">
            <w:pPr>
              <w:rPr>
                <w:b/>
                <w:bCs/>
              </w:rPr>
            </w:pPr>
          </w:p>
          <w:p w14:paraId="06DB0E79" w14:textId="77777777" w:rsidR="00E84095" w:rsidRDefault="00E84095" w:rsidP="004839A1">
            <w:pPr>
              <w:rPr>
                <w:b/>
                <w:bCs/>
              </w:rPr>
            </w:pPr>
            <w:r w:rsidRPr="00B81DD7">
              <w:rPr>
                <w:b/>
                <w:bCs/>
              </w:rPr>
              <w:t xml:space="preserve">1. </w:t>
            </w:r>
          </w:p>
          <w:p w14:paraId="685C2B13" w14:textId="2B556A48" w:rsidR="00E84095" w:rsidRPr="00B81DD7" w:rsidRDefault="00E84095" w:rsidP="004839A1">
            <w:pPr>
              <w:rPr>
                <w:b/>
                <w:bCs/>
              </w:rPr>
            </w:pPr>
          </w:p>
        </w:tc>
        <w:tc>
          <w:tcPr>
            <w:tcW w:w="2932" w:type="dxa"/>
          </w:tcPr>
          <w:p w14:paraId="20F971FF" w14:textId="1AF2D12A" w:rsidR="00E84095" w:rsidRDefault="00E84095" w:rsidP="004839A1">
            <w:r>
              <w:t>Welcome and Introduction from the Chair</w:t>
            </w:r>
          </w:p>
        </w:tc>
        <w:tc>
          <w:tcPr>
            <w:tcW w:w="6633" w:type="dxa"/>
            <w:gridSpan w:val="2"/>
          </w:tcPr>
          <w:p w14:paraId="32ED568A" w14:textId="208826C6" w:rsidR="00E84095" w:rsidRDefault="004D7A52" w:rsidP="004839A1">
            <w:r>
              <w:t xml:space="preserve">The Chair/NCP </w:t>
            </w:r>
            <w:r w:rsidR="00CD5321">
              <w:t>opened the meeting</w:t>
            </w:r>
            <w:r w:rsidR="003D7F98">
              <w:t xml:space="preserve">. </w:t>
            </w:r>
          </w:p>
        </w:tc>
      </w:tr>
      <w:tr w:rsidR="001C2F8F" w14:paraId="0E75183F" w14:textId="77777777" w:rsidTr="003759E7">
        <w:tc>
          <w:tcPr>
            <w:tcW w:w="891" w:type="dxa"/>
          </w:tcPr>
          <w:p w14:paraId="7B0AF2DA" w14:textId="52792D3B" w:rsidR="001C2F8F" w:rsidRDefault="001C2F8F" w:rsidP="004839A1">
            <w:pPr>
              <w:rPr>
                <w:b/>
                <w:bCs/>
              </w:rPr>
            </w:pPr>
            <w:r>
              <w:rPr>
                <w:b/>
                <w:bCs/>
              </w:rPr>
              <w:t>2.</w:t>
            </w:r>
          </w:p>
        </w:tc>
        <w:tc>
          <w:tcPr>
            <w:tcW w:w="2932" w:type="dxa"/>
          </w:tcPr>
          <w:p w14:paraId="68F729A9" w14:textId="46C39815" w:rsidR="001C2F8F" w:rsidRDefault="001C2F8F" w:rsidP="004839A1">
            <w:r>
              <w:t>Adoption of agenda</w:t>
            </w:r>
          </w:p>
        </w:tc>
        <w:tc>
          <w:tcPr>
            <w:tcW w:w="6633" w:type="dxa"/>
            <w:gridSpan w:val="2"/>
          </w:tcPr>
          <w:p w14:paraId="6E138775" w14:textId="08754B64" w:rsidR="001C2F8F" w:rsidRDefault="00167FDA" w:rsidP="004839A1">
            <w:r>
              <w:t>Agreed</w:t>
            </w:r>
            <w:r w:rsidR="003D7F98">
              <w:t>.</w:t>
            </w:r>
            <w:r>
              <w:t xml:space="preserve"> </w:t>
            </w:r>
            <w:r w:rsidR="003D7F98">
              <w:t xml:space="preserve"> </w:t>
            </w:r>
          </w:p>
        </w:tc>
      </w:tr>
      <w:tr w:rsidR="001C2F8F" w14:paraId="3E83BCE2" w14:textId="77777777" w:rsidTr="003759E7">
        <w:tc>
          <w:tcPr>
            <w:tcW w:w="891" w:type="dxa"/>
          </w:tcPr>
          <w:p w14:paraId="1C506DB0" w14:textId="4A315184" w:rsidR="001C2F8F" w:rsidRPr="00B81DD7" w:rsidRDefault="001C2F8F" w:rsidP="004839A1">
            <w:pPr>
              <w:rPr>
                <w:b/>
                <w:bCs/>
              </w:rPr>
            </w:pPr>
            <w:r>
              <w:rPr>
                <w:b/>
                <w:bCs/>
              </w:rPr>
              <w:t xml:space="preserve">3. </w:t>
            </w:r>
          </w:p>
        </w:tc>
        <w:tc>
          <w:tcPr>
            <w:tcW w:w="2932" w:type="dxa"/>
          </w:tcPr>
          <w:p w14:paraId="0B566387" w14:textId="14865AC9" w:rsidR="00CF760C" w:rsidRDefault="00ED318C" w:rsidP="00CF760C">
            <w:r>
              <w:t>Dialogue with the Australian National Contact Point</w:t>
            </w:r>
            <w:r w:rsidR="003666ED">
              <w:t xml:space="preserve"> for Responsible Business Conduct</w:t>
            </w:r>
          </w:p>
          <w:p w14:paraId="1D94725C" w14:textId="5C86E506" w:rsidR="001C2F8F" w:rsidRDefault="001C2F8F" w:rsidP="003D7F98"/>
        </w:tc>
        <w:tc>
          <w:tcPr>
            <w:tcW w:w="6633" w:type="dxa"/>
            <w:gridSpan w:val="2"/>
          </w:tcPr>
          <w:p w14:paraId="60FB8F9E" w14:textId="6EC46251" w:rsidR="005B2994" w:rsidRDefault="00ED318C" w:rsidP="00CF760C">
            <w:r>
              <w:t xml:space="preserve">Laura Llewellyn, Director of the Australian National Contact Point for Responsible Business Conduct </w:t>
            </w:r>
            <w:r w:rsidR="00C53F28">
              <w:t xml:space="preserve">(AusNCP) </w:t>
            </w:r>
            <w:r>
              <w:t xml:space="preserve">Secretariat </w:t>
            </w:r>
            <w:r w:rsidR="00813218">
              <w:t>joined the liaison group</w:t>
            </w:r>
            <w:r w:rsidR="003D63DD">
              <w:t xml:space="preserve"> to </w:t>
            </w:r>
            <w:r w:rsidR="00F02BCA">
              <w:t>discuss</w:t>
            </w:r>
            <w:r w:rsidR="003D63DD">
              <w:t xml:space="preserve"> </w:t>
            </w:r>
            <w:r w:rsidR="00F02BCA">
              <w:t xml:space="preserve">the handling of specific instances </w:t>
            </w:r>
            <w:r w:rsidR="003D63DD">
              <w:t>and</w:t>
            </w:r>
            <w:r w:rsidR="00F02BCA">
              <w:t xml:space="preserve"> their</w:t>
            </w:r>
            <w:r w:rsidR="003D63DD">
              <w:t xml:space="preserve"> promotional work. </w:t>
            </w:r>
          </w:p>
          <w:p w14:paraId="73305FAF" w14:textId="77777777" w:rsidR="005B2994" w:rsidRDefault="005B2994" w:rsidP="00CF760C"/>
          <w:p w14:paraId="3D102978" w14:textId="582AC5B0" w:rsidR="001C2F8F" w:rsidRDefault="005B2994" w:rsidP="00813218">
            <w:r>
              <w:t xml:space="preserve">The Guidelines </w:t>
            </w:r>
            <w:r w:rsidR="006C796F">
              <w:t>allow for</w:t>
            </w:r>
            <w:r>
              <w:t xml:space="preserve"> </w:t>
            </w:r>
            <w:r w:rsidR="006C796F">
              <w:t xml:space="preserve">flexible National Contact Point </w:t>
            </w:r>
            <w:r w:rsidR="003324F0">
              <w:t xml:space="preserve">(NCP) </w:t>
            </w:r>
            <w:r w:rsidR="006C796F">
              <w:t xml:space="preserve">structures. Laura described the structure, </w:t>
            </w:r>
            <w:r w:rsidR="003D63DD">
              <w:t>functions,</w:t>
            </w:r>
            <w:r w:rsidR="006C796F">
              <w:t xml:space="preserve"> and location of the Aus</w:t>
            </w:r>
            <w:r w:rsidR="00C53F28">
              <w:t>NCP</w:t>
            </w:r>
            <w:r w:rsidR="00F02BCA">
              <w:t xml:space="preserve"> which differs from New Zealand’s</w:t>
            </w:r>
            <w:r w:rsidR="003D63DD">
              <w:t>.</w:t>
            </w:r>
            <w:r w:rsidR="006C796F">
              <w:t xml:space="preserve"> </w:t>
            </w:r>
            <w:r w:rsidR="00C53F28">
              <w:t xml:space="preserve">Reflecting on </w:t>
            </w:r>
            <w:r w:rsidR="00F02BCA">
              <w:t>recent</w:t>
            </w:r>
            <w:r w:rsidR="006C796F">
              <w:t xml:space="preserve"> specific instances</w:t>
            </w:r>
            <w:r w:rsidR="00C53F28">
              <w:t xml:space="preserve"> considered by the AusNCP</w:t>
            </w:r>
            <w:r w:rsidR="006C796F">
              <w:t xml:space="preserve">, Laura </w:t>
            </w:r>
            <w:r w:rsidR="00F02BCA">
              <w:t>made</w:t>
            </w:r>
            <w:r w:rsidR="00256945">
              <w:t xml:space="preserve"> observations on trends</w:t>
            </w:r>
            <w:r w:rsidR="008D6CE1">
              <w:t xml:space="preserve"> relating to</w:t>
            </w:r>
            <w:r w:rsidR="00256945">
              <w:t xml:space="preserve"> the nature, </w:t>
            </w:r>
            <w:r w:rsidR="003D63DD">
              <w:t>sectors,</w:t>
            </w:r>
            <w:r w:rsidR="00256945">
              <w:t xml:space="preserve"> and geographical location of allegations. Consumer-related complaints </w:t>
            </w:r>
            <w:r w:rsidR="008D6CE1">
              <w:t>are of increasing relevance.</w:t>
            </w:r>
            <w:r w:rsidR="00256945">
              <w:t xml:space="preserve"> Laura spoke </w:t>
            </w:r>
            <w:r w:rsidR="008D6CE1">
              <w:t>about</w:t>
            </w:r>
            <w:r w:rsidR="00256945">
              <w:t xml:space="preserve"> two active specific </w:t>
            </w:r>
            <w:r w:rsidR="00784EE8">
              <w:t>instances</w:t>
            </w:r>
            <w:r w:rsidR="00256945">
              <w:t xml:space="preserve"> </w:t>
            </w:r>
            <w:r w:rsidR="008D6CE1">
              <w:t>discussing</w:t>
            </w:r>
            <w:r w:rsidR="00256945">
              <w:t xml:space="preserve"> the challenges and strengths of engaging in good offices. The dialogue closed with an exchange of views on the international trend </w:t>
            </w:r>
            <w:r w:rsidR="008D6CE1">
              <w:t>moving from</w:t>
            </w:r>
            <w:r w:rsidR="00256945">
              <w:t xml:space="preserve"> voluntary</w:t>
            </w:r>
            <w:r w:rsidR="008D6CE1">
              <w:t xml:space="preserve"> due diligence</w:t>
            </w:r>
            <w:r w:rsidR="00256945">
              <w:t xml:space="preserve"> standards to mandatory regulatio</w:t>
            </w:r>
            <w:r w:rsidR="00813218">
              <w:t xml:space="preserve">n </w:t>
            </w:r>
            <w:r w:rsidR="008D6CE1">
              <w:t>including</w:t>
            </w:r>
            <w:r w:rsidR="00813218">
              <w:t xml:space="preserve"> the challenges </w:t>
            </w:r>
            <w:r w:rsidR="008D6CE1">
              <w:t>faced by both</w:t>
            </w:r>
            <w:r w:rsidR="00813218">
              <w:t xml:space="preserve"> EU members and non-EU members</w:t>
            </w:r>
            <w:r w:rsidR="00EE15EB">
              <w:t xml:space="preserve"> in the introduction of the EU Corporate Sustainability Due Diligence Directive (CSDDD)</w:t>
            </w:r>
            <w:r w:rsidR="00813218">
              <w:t xml:space="preserve">. </w:t>
            </w:r>
          </w:p>
          <w:p w14:paraId="548CBF12" w14:textId="693156FE" w:rsidR="00813218" w:rsidRDefault="00813218" w:rsidP="00813218"/>
        </w:tc>
      </w:tr>
      <w:tr w:rsidR="00CF760C" w14:paraId="27E2C185" w14:textId="77777777" w:rsidTr="003759E7">
        <w:tc>
          <w:tcPr>
            <w:tcW w:w="891" w:type="dxa"/>
          </w:tcPr>
          <w:p w14:paraId="4BA77830" w14:textId="02F343AA" w:rsidR="00CF760C" w:rsidRDefault="00CF760C" w:rsidP="00CF760C">
            <w:pPr>
              <w:rPr>
                <w:b/>
                <w:bCs/>
              </w:rPr>
            </w:pPr>
            <w:r w:rsidRPr="13FE1865">
              <w:rPr>
                <w:b/>
                <w:bCs/>
              </w:rPr>
              <w:t>4.</w:t>
            </w:r>
          </w:p>
        </w:tc>
        <w:tc>
          <w:tcPr>
            <w:tcW w:w="2932" w:type="dxa"/>
          </w:tcPr>
          <w:p w14:paraId="057E929C" w14:textId="2EE6FFCC" w:rsidR="00CF760C" w:rsidRDefault="003D63DD" w:rsidP="00CF760C">
            <w:r w:rsidRPr="00395D03">
              <w:t xml:space="preserve">Report back on the OECD meeting on the Working Party on Responsible Business Conduct </w:t>
            </w:r>
            <w:r w:rsidR="003666ED">
              <w:t xml:space="preserve">(RBC) </w:t>
            </w:r>
            <w:r w:rsidRPr="00395D03">
              <w:t xml:space="preserve">and National </w:t>
            </w:r>
            <w:r w:rsidRPr="00395D03">
              <w:lastRenderedPageBreak/>
              <w:t xml:space="preserve">Contact Point Network Meeting, 19 – 22 November </w:t>
            </w:r>
          </w:p>
          <w:p w14:paraId="4B3F1A47" w14:textId="77777777" w:rsidR="003D63DD" w:rsidRDefault="003D63DD" w:rsidP="00CF760C"/>
          <w:p w14:paraId="426691CC" w14:textId="4EDFE990" w:rsidR="00CF760C" w:rsidRDefault="00CF760C" w:rsidP="00CF760C"/>
        </w:tc>
        <w:tc>
          <w:tcPr>
            <w:tcW w:w="6633" w:type="dxa"/>
            <w:gridSpan w:val="2"/>
          </w:tcPr>
          <w:p w14:paraId="0ECA3570" w14:textId="7672F892" w:rsidR="003D63DD" w:rsidRDefault="003D63DD" w:rsidP="00CF760C">
            <w:r>
              <w:lastRenderedPageBreak/>
              <w:t xml:space="preserve">The EU CSDDD overshadowed the meeting of the </w:t>
            </w:r>
            <w:r w:rsidR="003666ED">
              <w:t>W</w:t>
            </w:r>
            <w:r>
              <w:t xml:space="preserve">orking </w:t>
            </w:r>
            <w:r w:rsidR="003666ED">
              <w:t>P</w:t>
            </w:r>
            <w:r>
              <w:t xml:space="preserve">arty on </w:t>
            </w:r>
            <w:r w:rsidR="003666ED">
              <w:t>RBC</w:t>
            </w:r>
            <w:r>
              <w:t xml:space="preserve"> and the </w:t>
            </w:r>
            <w:r w:rsidR="003666ED">
              <w:t xml:space="preserve">NCP </w:t>
            </w:r>
            <w:r>
              <w:t>Network. EU Members are currently working through regulatory aspects of the Directive and have different approaches to</w:t>
            </w:r>
            <w:r w:rsidR="008D6CE1">
              <w:t xml:space="preserve"> the location of </w:t>
            </w:r>
            <w:r w:rsidR="006A5093">
              <w:t>the</w:t>
            </w:r>
            <w:r>
              <w:t xml:space="preserve"> </w:t>
            </w:r>
            <w:r w:rsidR="006A5093">
              <w:t xml:space="preserve">CSDDD </w:t>
            </w:r>
            <w:r>
              <w:t xml:space="preserve">enforcement </w:t>
            </w:r>
            <w:r w:rsidR="006A5093">
              <w:t xml:space="preserve">function, and the </w:t>
            </w:r>
            <w:r w:rsidR="003666ED">
              <w:t>NCP</w:t>
            </w:r>
            <w:r w:rsidR="006A5093">
              <w:t xml:space="preserve"> function. </w:t>
            </w:r>
            <w:r w:rsidR="00EE15EB">
              <w:t>It was noted that the</w:t>
            </w:r>
            <w:r w:rsidR="006A5093">
              <w:t xml:space="preserve"> CSDDD builds </w:t>
            </w:r>
            <w:r w:rsidR="008D6CE1">
              <w:t>on</w:t>
            </w:r>
            <w:r w:rsidR="006A5093">
              <w:t xml:space="preserve"> </w:t>
            </w:r>
            <w:r w:rsidR="0032296F">
              <w:t xml:space="preserve">existing international </w:t>
            </w:r>
            <w:proofErr w:type="gramStart"/>
            <w:r w:rsidR="0032296F">
              <w:t>standards</w:t>
            </w:r>
            <w:proofErr w:type="gramEnd"/>
            <w:r w:rsidR="0032296F">
              <w:t xml:space="preserve"> </w:t>
            </w:r>
            <w:r w:rsidR="0032296F">
              <w:lastRenderedPageBreak/>
              <w:t xml:space="preserve">and it incorporates </w:t>
            </w:r>
            <w:r w:rsidR="006A5093">
              <w:t>the 6-step due diligence framework and risk-based approach</w:t>
            </w:r>
            <w:r w:rsidR="0032296F">
              <w:t xml:space="preserve"> of the OECD Guidelines into the requirements of the directive</w:t>
            </w:r>
            <w:r w:rsidR="006A5093">
              <w:t xml:space="preserve">. </w:t>
            </w:r>
          </w:p>
          <w:p w14:paraId="47F8B034" w14:textId="77777777" w:rsidR="003D63DD" w:rsidRDefault="003D63DD" w:rsidP="00CF760C"/>
          <w:p w14:paraId="6DE21F39" w14:textId="67C4134B" w:rsidR="003D63DD" w:rsidRDefault="006A5093" w:rsidP="00CF760C">
            <w:r>
              <w:t>The OECD is taking a leading role in international discussions on A</w:t>
            </w:r>
            <w:r w:rsidR="00EE15EB">
              <w:t>rtificial Intelligence (A</w:t>
            </w:r>
            <w:r>
              <w:t>I</w:t>
            </w:r>
            <w:r w:rsidR="00EE15EB">
              <w:t>)</w:t>
            </w:r>
            <w:r>
              <w:t xml:space="preserve"> and </w:t>
            </w:r>
            <w:r w:rsidR="008D6CE1">
              <w:t>has</w:t>
            </w:r>
            <w:r>
              <w:t xml:space="preserve"> developed draft </w:t>
            </w:r>
            <w:r w:rsidR="00EE15EB">
              <w:t xml:space="preserve">Due Diligence Guidance </w:t>
            </w:r>
            <w:r>
              <w:t xml:space="preserve">for </w:t>
            </w:r>
            <w:r w:rsidR="00EE15EB">
              <w:t xml:space="preserve">Responsible </w:t>
            </w:r>
            <w:r>
              <w:t xml:space="preserve">AI. New Zealand made an intervention </w:t>
            </w:r>
            <w:r w:rsidR="008D6CE1">
              <w:t>recommending the</w:t>
            </w:r>
            <w:r w:rsidR="00BA2734">
              <w:t xml:space="preserve"> inclusion of </w:t>
            </w:r>
            <w:r w:rsidR="00EE15EB">
              <w:t xml:space="preserve">references to </w:t>
            </w:r>
            <w:r w:rsidR="00BA2734">
              <w:t>the</w:t>
            </w:r>
            <w:r>
              <w:t xml:space="preserve"> United Nations Declaration on Indigenous Rights. </w:t>
            </w:r>
            <w:r w:rsidR="00EE15EB">
              <w:t>Written comments will also be submitted on the draft.</w:t>
            </w:r>
          </w:p>
          <w:p w14:paraId="11FED4A3" w14:textId="77777777" w:rsidR="00E83A44" w:rsidRDefault="00E83A44" w:rsidP="00CF760C"/>
          <w:p w14:paraId="43966E85" w14:textId="2FC60925" w:rsidR="00E83A44" w:rsidRDefault="00E83A44" w:rsidP="00CF760C">
            <w:r>
              <w:t xml:space="preserve">The OECD Centre for </w:t>
            </w:r>
            <w:r w:rsidR="003666ED">
              <w:t>RBC</w:t>
            </w:r>
            <w:r>
              <w:t xml:space="preserve"> Action Plan emphasis</w:t>
            </w:r>
            <w:r w:rsidR="00BA2734">
              <w:t>ed the importance of</w:t>
            </w:r>
            <w:r>
              <w:t xml:space="preserve"> functional equivalence among the National Contact Point network. </w:t>
            </w:r>
            <w:r w:rsidR="00BA2734">
              <w:t>In the past year specific instances</w:t>
            </w:r>
            <w:r>
              <w:t xml:space="preserve"> h</w:t>
            </w:r>
            <w:r w:rsidR="00BA2734">
              <w:t>ave</w:t>
            </w:r>
            <w:r>
              <w:t xml:space="preserve"> </w:t>
            </w:r>
            <w:r w:rsidR="00BA2734">
              <w:t>increased by</w:t>
            </w:r>
            <w:r>
              <w:t xml:space="preserve"> 12</w:t>
            </w:r>
            <w:r w:rsidR="00EE15EB">
              <w:t xml:space="preserve"> per cent </w:t>
            </w:r>
            <w:r w:rsidR="00BA2734">
              <w:t xml:space="preserve">with </w:t>
            </w:r>
            <w:r w:rsidR="007011DD">
              <w:t>NCPs</w:t>
            </w:r>
            <w:r>
              <w:t xml:space="preserve"> successfully facilitating agreement in 73</w:t>
            </w:r>
            <w:r w:rsidR="00EE15EB">
              <w:t xml:space="preserve"> per cent</w:t>
            </w:r>
            <w:r>
              <w:t xml:space="preserve"> of case that went to mediation. </w:t>
            </w:r>
          </w:p>
          <w:p w14:paraId="04D8A366" w14:textId="77777777" w:rsidR="00E83A44" w:rsidRDefault="00E83A44" w:rsidP="00CF760C"/>
          <w:p w14:paraId="6A3E88FF" w14:textId="68344488" w:rsidR="00E83A44" w:rsidRDefault="00C9489C" w:rsidP="00CF760C">
            <w:r>
              <w:t xml:space="preserve">The OECD </w:t>
            </w:r>
            <w:r w:rsidR="00CA7511">
              <w:t xml:space="preserve">tabled plans for </w:t>
            </w:r>
            <w:r>
              <w:t xml:space="preserve">the Inclusive </w:t>
            </w:r>
            <w:r w:rsidR="00CA7511">
              <w:t>P</w:t>
            </w:r>
            <w:r>
              <w:t>latform for Due Diligence Cooperation</w:t>
            </w:r>
            <w:r w:rsidR="00CA7511">
              <w:t xml:space="preserve">, a new </w:t>
            </w:r>
            <w:r w:rsidR="00BA2734">
              <w:t>programme</w:t>
            </w:r>
            <w:r w:rsidR="00CA7511">
              <w:t xml:space="preserve"> that will be delivered by the Centre on Responsible Business Conduct</w:t>
            </w:r>
            <w:r w:rsidR="00BA2734">
              <w:t xml:space="preserve"> </w:t>
            </w:r>
            <w:r w:rsidR="00CA7511">
              <w:t xml:space="preserve">which </w:t>
            </w:r>
            <w:r w:rsidR="00BA2734">
              <w:t>focuses on</w:t>
            </w:r>
            <w:r>
              <w:t xml:space="preserve"> </w:t>
            </w:r>
            <w:r w:rsidR="00CA7511">
              <w:t xml:space="preserve">capacity building and information sharing on </w:t>
            </w:r>
            <w:r>
              <w:t>the implementation and enforcement of due diligence policy and regulation</w:t>
            </w:r>
            <w:r w:rsidR="00CA7511">
              <w:t>, including</w:t>
            </w:r>
            <w:r w:rsidR="00BA2734">
              <w:t xml:space="preserve"> </w:t>
            </w:r>
            <w:r>
              <w:t xml:space="preserve">supporting measures and tools. The first meeting will be held in March 2025. </w:t>
            </w:r>
            <w:r w:rsidR="00E83A44">
              <w:t xml:space="preserve"> </w:t>
            </w:r>
          </w:p>
          <w:p w14:paraId="7DD743CC" w14:textId="7A036D1B" w:rsidR="009826C7" w:rsidRPr="00BF737E" w:rsidRDefault="009826C7" w:rsidP="00C9489C"/>
        </w:tc>
      </w:tr>
      <w:tr w:rsidR="001C2F8F" w:rsidRPr="00E40E35" w14:paraId="4FBDEA9A" w14:textId="77777777" w:rsidTr="003759E7">
        <w:trPr>
          <w:gridAfter w:val="1"/>
          <w:wAfter w:w="80" w:type="dxa"/>
        </w:trPr>
        <w:tc>
          <w:tcPr>
            <w:tcW w:w="891" w:type="dxa"/>
          </w:tcPr>
          <w:p w14:paraId="7510309D" w14:textId="733959BB" w:rsidR="001C2F8F" w:rsidRPr="13FE1865" w:rsidRDefault="001C2F8F" w:rsidP="004839A1">
            <w:pPr>
              <w:rPr>
                <w:b/>
                <w:bCs/>
              </w:rPr>
            </w:pPr>
            <w:r>
              <w:rPr>
                <w:b/>
                <w:bCs/>
              </w:rPr>
              <w:lastRenderedPageBreak/>
              <w:t>5</w:t>
            </w:r>
            <w:r w:rsidRPr="13FE1865">
              <w:rPr>
                <w:b/>
                <w:bCs/>
              </w:rPr>
              <w:t xml:space="preserve">. </w:t>
            </w:r>
          </w:p>
        </w:tc>
        <w:tc>
          <w:tcPr>
            <w:tcW w:w="2932" w:type="dxa"/>
          </w:tcPr>
          <w:p w14:paraId="736B969B" w14:textId="5D127F90" w:rsidR="001C2F8F" w:rsidRPr="002523F8" w:rsidRDefault="005C16C7" w:rsidP="002523F8">
            <w:r w:rsidRPr="00395D03">
              <w:t xml:space="preserve">Update on </w:t>
            </w:r>
            <w:r w:rsidR="003666ED">
              <w:t>RBC</w:t>
            </w:r>
            <w:r w:rsidRPr="00395D03">
              <w:t xml:space="preserve"> for Green, Digital and Resilient Supply Chains in Asia project</w:t>
            </w:r>
            <w:r>
              <w:t>.</w:t>
            </w:r>
          </w:p>
        </w:tc>
        <w:tc>
          <w:tcPr>
            <w:tcW w:w="6553" w:type="dxa"/>
          </w:tcPr>
          <w:p w14:paraId="1B661822" w14:textId="31393731" w:rsidR="005C16C7" w:rsidRDefault="005C16C7" w:rsidP="002523F8">
            <w:r>
              <w:t xml:space="preserve">New Zealand is engaging in the EU funded, OECD project on </w:t>
            </w:r>
            <w:r w:rsidR="003666ED">
              <w:t>RBC</w:t>
            </w:r>
            <w:r w:rsidRPr="00395D03">
              <w:t xml:space="preserve"> for Green, Digital and Resilient Supply Chains in Asia</w:t>
            </w:r>
            <w:r>
              <w:t xml:space="preserve">. In September, the National Contact Point </w:t>
            </w:r>
            <w:r w:rsidR="00BA2734">
              <w:t>facilitated</w:t>
            </w:r>
            <w:r>
              <w:t xml:space="preserve"> Deloitte and Mitre 10</w:t>
            </w:r>
            <w:r w:rsidR="00BA2734">
              <w:t>’s participation</w:t>
            </w:r>
            <w:r>
              <w:t xml:space="preserve"> in the </w:t>
            </w:r>
            <w:r w:rsidR="00BA2734">
              <w:t xml:space="preserve">programme’s </w:t>
            </w:r>
            <w:r>
              <w:t xml:space="preserve">launch. </w:t>
            </w:r>
            <w:r w:rsidR="00CA7511">
              <w:t xml:space="preserve">In November, </w:t>
            </w:r>
            <w:r>
              <w:t xml:space="preserve">MFAT </w:t>
            </w:r>
            <w:r w:rsidR="00CA7511">
              <w:t xml:space="preserve">and the NCP </w:t>
            </w:r>
            <w:r>
              <w:t xml:space="preserve">engaged in a dialogue on </w:t>
            </w:r>
            <w:r w:rsidR="003666ED">
              <w:t xml:space="preserve">RBC and </w:t>
            </w:r>
            <w:r>
              <w:t>procurement and development cooperation</w:t>
            </w:r>
            <w:r w:rsidR="00CA7511">
              <w:t xml:space="preserve"> with </w:t>
            </w:r>
            <w:r w:rsidR="007011DD">
              <w:t xml:space="preserve">officials from </w:t>
            </w:r>
            <w:r w:rsidR="00CA7511">
              <w:t>Japan, Korea</w:t>
            </w:r>
            <w:r w:rsidR="00620555">
              <w:t xml:space="preserve"> and</w:t>
            </w:r>
            <w:r w:rsidR="00CA7511">
              <w:t xml:space="preserve"> Australia</w:t>
            </w:r>
            <w:r w:rsidR="00620555">
              <w:t xml:space="preserve"> </w:t>
            </w:r>
            <w:r w:rsidR="003666ED">
              <w:t>facilitated by the OECD</w:t>
            </w:r>
            <w:r>
              <w:t xml:space="preserve">. </w:t>
            </w:r>
          </w:p>
          <w:p w14:paraId="7F86B6A2" w14:textId="77777777" w:rsidR="00BA2734" w:rsidRDefault="00BA2734" w:rsidP="002523F8"/>
          <w:p w14:paraId="0C44E5D1" w14:textId="3D9B52E7" w:rsidR="005C16C7" w:rsidRDefault="00BA2734" w:rsidP="002523F8">
            <w:r>
              <w:t xml:space="preserve">The </w:t>
            </w:r>
            <w:r w:rsidR="005C16C7">
              <w:t xml:space="preserve">OECD is working on </w:t>
            </w:r>
            <w:r>
              <w:t>several</w:t>
            </w:r>
            <w:r w:rsidR="005C16C7">
              <w:t xml:space="preserve"> events on the OECD Guidelines </w:t>
            </w:r>
            <w:r>
              <w:t>and</w:t>
            </w:r>
            <w:r w:rsidR="005C16C7">
              <w:t xml:space="preserve"> international frameworks and regulation. </w:t>
            </w:r>
            <w:r>
              <w:t>An</w:t>
            </w:r>
            <w:r w:rsidR="005C16C7">
              <w:t xml:space="preserve"> event </w:t>
            </w:r>
            <w:r>
              <w:t>will be</w:t>
            </w:r>
            <w:r w:rsidR="005C16C7">
              <w:t xml:space="preserve"> held in Japan </w:t>
            </w:r>
            <w:r w:rsidR="00BA7604">
              <w:t>focused on</w:t>
            </w:r>
            <w:r w:rsidR="005C16C7">
              <w:t xml:space="preserve"> the electronics and automobile sectors</w:t>
            </w:r>
            <w:r w:rsidR="00BA7604">
              <w:t xml:space="preserve">. This may act as a template </w:t>
            </w:r>
            <w:r w:rsidR="005C16C7">
              <w:t xml:space="preserve">for further events. </w:t>
            </w:r>
            <w:r w:rsidR="00BA7604">
              <w:t xml:space="preserve">Additional work includes </w:t>
            </w:r>
            <w:r w:rsidR="005C16C7">
              <w:t>a due diligence checker for mineral supply chains</w:t>
            </w:r>
            <w:r w:rsidR="00BA7604">
              <w:t xml:space="preserve">, </w:t>
            </w:r>
            <w:r w:rsidR="005C16C7">
              <w:t xml:space="preserve">work in sustainable finance, </w:t>
            </w:r>
            <w:r w:rsidR="003666ED">
              <w:t xml:space="preserve">Environmental, Social and Governance (ESG) </w:t>
            </w:r>
            <w:r w:rsidR="005C16C7">
              <w:t xml:space="preserve">ratings and on </w:t>
            </w:r>
            <w:r w:rsidR="00BA7604">
              <w:t>overarching RBC analysis</w:t>
            </w:r>
            <w:r w:rsidR="005C16C7">
              <w:t>.</w:t>
            </w:r>
          </w:p>
          <w:p w14:paraId="5CD8A0E6" w14:textId="77777777" w:rsidR="005C16C7" w:rsidRDefault="005C16C7" w:rsidP="002523F8"/>
          <w:p w14:paraId="11092B38" w14:textId="35466E6A" w:rsidR="005C16C7" w:rsidRPr="005C16C7" w:rsidRDefault="005C16C7" w:rsidP="002523F8">
            <w:pPr>
              <w:rPr>
                <w:b/>
                <w:bCs/>
              </w:rPr>
            </w:pPr>
            <w:r>
              <w:rPr>
                <w:b/>
                <w:bCs/>
              </w:rPr>
              <w:t xml:space="preserve">Action: The </w:t>
            </w:r>
            <w:r w:rsidR="007011DD">
              <w:rPr>
                <w:b/>
                <w:bCs/>
              </w:rPr>
              <w:t>NCP</w:t>
            </w:r>
            <w:r>
              <w:rPr>
                <w:b/>
                <w:bCs/>
              </w:rPr>
              <w:t xml:space="preserve"> will inform the Liaison Group of upcoming events as relevant.</w:t>
            </w:r>
          </w:p>
        </w:tc>
      </w:tr>
      <w:tr w:rsidR="001C2F8F" w:rsidRPr="00FE0DA6" w14:paraId="4A94757F" w14:textId="77777777" w:rsidTr="003759E7">
        <w:trPr>
          <w:gridAfter w:val="1"/>
          <w:wAfter w:w="80" w:type="dxa"/>
        </w:trPr>
        <w:tc>
          <w:tcPr>
            <w:tcW w:w="891" w:type="dxa"/>
          </w:tcPr>
          <w:p w14:paraId="2AF9B6FE" w14:textId="4E3A26A8" w:rsidR="001C2F8F" w:rsidRDefault="001C2F8F" w:rsidP="004839A1">
            <w:pPr>
              <w:rPr>
                <w:b/>
                <w:bCs/>
              </w:rPr>
            </w:pPr>
            <w:r>
              <w:rPr>
                <w:b/>
                <w:bCs/>
              </w:rPr>
              <w:t>6.</w:t>
            </w:r>
          </w:p>
        </w:tc>
        <w:tc>
          <w:tcPr>
            <w:tcW w:w="2932" w:type="dxa"/>
          </w:tcPr>
          <w:p w14:paraId="4DDA59D2" w14:textId="524F7835" w:rsidR="001C2F8F" w:rsidRDefault="005C16C7" w:rsidP="00E84095">
            <w:r w:rsidRPr="00395D03">
              <w:t xml:space="preserve">Update on RBC promotional activity </w:t>
            </w:r>
          </w:p>
        </w:tc>
        <w:tc>
          <w:tcPr>
            <w:tcW w:w="6553" w:type="dxa"/>
          </w:tcPr>
          <w:p w14:paraId="44BFAE34" w14:textId="1430C90F" w:rsidR="00BA7604" w:rsidRDefault="005C16C7" w:rsidP="00620555">
            <w:r>
              <w:t xml:space="preserve">The </w:t>
            </w:r>
            <w:r w:rsidR="00BA7604">
              <w:t>NCP</w:t>
            </w:r>
            <w:r>
              <w:t xml:space="preserve"> published updated Rules of Procedure in 2024. </w:t>
            </w:r>
            <w:r w:rsidR="00BA7604">
              <w:t xml:space="preserve">The NCP has </w:t>
            </w:r>
            <w:r>
              <w:t>focused on developing three factsheets for publication</w:t>
            </w:r>
            <w:r w:rsidR="00C74DA6">
              <w:t xml:space="preserve"> which are currently with the OECD for review. These include high level summaries on the Guidelines</w:t>
            </w:r>
            <w:r w:rsidR="007F2722">
              <w:t xml:space="preserve"> including the requirements on government and the standards expected of business and the role of NCP. </w:t>
            </w:r>
          </w:p>
          <w:p w14:paraId="4DCFAB9D" w14:textId="77777777" w:rsidR="005F2303" w:rsidRDefault="005F2303" w:rsidP="005C16C7"/>
          <w:p w14:paraId="5DB7BD13" w14:textId="3CA5198B" w:rsidR="005F2303" w:rsidRDefault="00BA7604" w:rsidP="005C16C7">
            <w:r>
              <w:t>In 2025, t</w:t>
            </w:r>
            <w:r w:rsidR="005F2303">
              <w:t xml:space="preserve">he </w:t>
            </w:r>
            <w:r>
              <w:t>NCP</w:t>
            </w:r>
            <w:r w:rsidR="005F2303">
              <w:t xml:space="preserve"> </w:t>
            </w:r>
            <w:r w:rsidR="007F2722">
              <w:t>is planning to</w:t>
            </w:r>
            <w:r w:rsidR="005F2303">
              <w:t xml:space="preserve"> </w:t>
            </w:r>
            <w:r>
              <w:t>draft</w:t>
            </w:r>
            <w:r w:rsidR="005F2303">
              <w:t xml:space="preserve"> article</w:t>
            </w:r>
            <w:r w:rsidR="007F2722">
              <w:t xml:space="preserve">s that can be further tailored and used by Liaison Group members publishing on websites or social media </w:t>
            </w:r>
            <w:r>
              <w:t xml:space="preserve">directing the audience to </w:t>
            </w:r>
            <w:r w:rsidR="005F2303">
              <w:t>resources.</w:t>
            </w:r>
          </w:p>
          <w:p w14:paraId="688FDC2C" w14:textId="77777777" w:rsidR="005F2303" w:rsidRDefault="005F2303" w:rsidP="005C16C7"/>
          <w:p w14:paraId="49B7F2EA" w14:textId="207E7F7F" w:rsidR="005F2303" w:rsidRDefault="00A91E50" w:rsidP="005C16C7">
            <w:r>
              <w:t>In 2025, the</w:t>
            </w:r>
            <w:r w:rsidR="005F2303">
              <w:t xml:space="preserve"> </w:t>
            </w:r>
            <w:r>
              <w:t>NCP</w:t>
            </w:r>
            <w:r w:rsidR="005F2303">
              <w:t xml:space="preserve"> </w:t>
            </w:r>
            <w:r w:rsidR="007F2722">
              <w:t>is planning to</w:t>
            </w:r>
            <w:r>
              <w:t xml:space="preserve"> draft</w:t>
            </w:r>
            <w:r w:rsidR="005F2303">
              <w:t xml:space="preserve"> a factsheet with practical information for </w:t>
            </w:r>
            <w:r w:rsidR="007F2722">
              <w:t>MNEs</w:t>
            </w:r>
            <w:r w:rsidR="005F2303">
              <w:t xml:space="preserve"> on engaging in meaningful consultation with </w:t>
            </w:r>
            <w:r w:rsidR="005F2303">
              <w:lastRenderedPageBreak/>
              <w:t>Māori</w:t>
            </w:r>
            <w:r w:rsidR="004159C7">
              <w:t>, in line with the Guidelines principle of meaningful engagement with stakeholders</w:t>
            </w:r>
            <w:r w:rsidR="005F2303">
              <w:t xml:space="preserve">. </w:t>
            </w:r>
          </w:p>
          <w:p w14:paraId="1903C1E4" w14:textId="77777777" w:rsidR="005F2303" w:rsidRDefault="005F2303" w:rsidP="005C16C7"/>
          <w:p w14:paraId="6BB1F51F" w14:textId="79B4156C" w:rsidR="007F18F3" w:rsidRPr="00562F89" w:rsidRDefault="005F2303" w:rsidP="00383CB8">
            <w:r>
              <w:rPr>
                <w:b/>
                <w:bCs/>
              </w:rPr>
              <w:t xml:space="preserve">Action: </w:t>
            </w:r>
            <w:r w:rsidR="007F2722">
              <w:rPr>
                <w:b/>
                <w:bCs/>
              </w:rPr>
              <w:t>The</w:t>
            </w:r>
            <w:r>
              <w:rPr>
                <w:b/>
                <w:bCs/>
              </w:rPr>
              <w:t xml:space="preserve"> </w:t>
            </w:r>
            <w:r w:rsidR="007011DD">
              <w:rPr>
                <w:b/>
                <w:bCs/>
              </w:rPr>
              <w:t>NCP</w:t>
            </w:r>
            <w:r>
              <w:rPr>
                <w:b/>
                <w:bCs/>
              </w:rPr>
              <w:t xml:space="preserve"> will share </w:t>
            </w:r>
            <w:r w:rsidR="00383CB8">
              <w:rPr>
                <w:b/>
                <w:bCs/>
              </w:rPr>
              <w:t xml:space="preserve">the </w:t>
            </w:r>
            <w:r w:rsidR="007F2722">
              <w:rPr>
                <w:b/>
                <w:bCs/>
              </w:rPr>
              <w:t>finalised</w:t>
            </w:r>
            <w:r w:rsidR="00383CB8">
              <w:rPr>
                <w:b/>
                <w:bCs/>
              </w:rPr>
              <w:t xml:space="preserve"> factsheets</w:t>
            </w:r>
            <w:r w:rsidR="007F2722">
              <w:rPr>
                <w:b/>
                <w:bCs/>
              </w:rPr>
              <w:t xml:space="preserve"> with</w:t>
            </w:r>
            <w:r w:rsidR="00383CB8">
              <w:rPr>
                <w:b/>
                <w:bCs/>
              </w:rPr>
              <w:t xml:space="preserve"> </w:t>
            </w:r>
            <w:r>
              <w:rPr>
                <w:b/>
                <w:bCs/>
              </w:rPr>
              <w:t>the Liaison Group.</w:t>
            </w:r>
            <w:r>
              <w:t xml:space="preserve"> </w:t>
            </w:r>
          </w:p>
        </w:tc>
      </w:tr>
      <w:tr w:rsidR="001C2F8F" w14:paraId="610FC695" w14:textId="77777777" w:rsidTr="003759E7">
        <w:trPr>
          <w:gridAfter w:val="1"/>
          <w:wAfter w:w="80" w:type="dxa"/>
        </w:trPr>
        <w:tc>
          <w:tcPr>
            <w:tcW w:w="891" w:type="dxa"/>
          </w:tcPr>
          <w:p w14:paraId="2AB419B9" w14:textId="27E9DC71" w:rsidR="001C2F8F" w:rsidRDefault="001C2F8F" w:rsidP="004839A1">
            <w:pPr>
              <w:rPr>
                <w:b/>
                <w:bCs/>
              </w:rPr>
            </w:pPr>
            <w:r>
              <w:rPr>
                <w:b/>
                <w:bCs/>
              </w:rPr>
              <w:lastRenderedPageBreak/>
              <w:t>7</w:t>
            </w:r>
            <w:r w:rsidRPr="13FE1865">
              <w:rPr>
                <w:b/>
                <w:bCs/>
              </w:rPr>
              <w:t>.</w:t>
            </w:r>
          </w:p>
        </w:tc>
        <w:tc>
          <w:tcPr>
            <w:tcW w:w="2932" w:type="dxa"/>
          </w:tcPr>
          <w:p w14:paraId="4AA48CCE" w14:textId="477CBE5A" w:rsidR="001C2F8F" w:rsidRDefault="00383CB8" w:rsidP="00861AF7">
            <w:r w:rsidRPr="00395D03">
              <w:t>Update on expansion of Liaison Group membership to Civil Society</w:t>
            </w:r>
          </w:p>
        </w:tc>
        <w:tc>
          <w:tcPr>
            <w:tcW w:w="6553" w:type="dxa"/>
          </w:tcPr>
          <w:p w14:paraId="1F327BA0" w14:textId="7363EF5D" w:rsidR="00156C94" w:rsidRDefault="00383CB8" w:rsidP="00383CB8">
            <w:r>
              <w:t xml:space="preserve">The </w:t>
            </w:r>
            <w:r w:rsidR="007011DD">
              <w:t>NCP</w:t>
            </w:r>
            <w:r>
              <w:t xml:space="preserve"> </w:t>
            </w:r>
            <w:r w:rsidR="00A91E50">
              <w:t>has invited</w:t>
            </w:r>
            <w:r>
              <w:t xml:space="preserve"> Transparency New Zealand </w:t>
            </w:r>
            <w:r w:rsidR="00A91E50">
              <w:t>to the Liaison Group and looks forward to discussing this opportunity.</w:t>
            </w:r>
            <w:r>
              <w:t xml:space="preserve"> </w:t>
            </w:r>
          </w:p>
          <w:p w14:paraId="712BF666" w14:textId="77777777" w:rsidR="00383CB8" w:rsidRDefault="00383CB8" w:rsidP="00383CB8"/>
          <w:p w14:paraId="269DFB77" w14:textId="1C92D27B" w:rsidR="00383CB8" w:rsidRDefault="00383CB8" w:rsidP="00383CB8">
            <w:r>
              <w:t xml:space="preserve">The Ministry for Environment has been approached for advice </w:t>
            </w:r>
            <w:r w:rsidR="00A91E50">
              <w:t xml:space="preserve">on an </w:t>
            </w:r>
            <w:r>
              <w:t>environment</w:t>
            </w:r>
            <w:r w:rsidR="00A91E50">
              <w:t>-</w:t>
            </w:r>
            <w:r>
              <w:t>focused civil society group to invite.</w:t>
            </w:r>
          </w:p>
          <w:p w14:paraId="5A4B934A" w14:textId="5170C58B" w:rsidR="00383CB8" w:rsidRDefault="00383CB8" w:rsidP="00383CB8"/>
        </w:tc>
      </w:tr>
      <w:tr w:rsidR="00156C94" w14:paraId="78ADEDB9" w14:textId="77777777" w:rsidTr="003759E7">
        <w:trPr>
          <w:gridAfter w:val="1"/>
          <w:wAfter w:w="80" w:type="dxa"/>
        </w:trPr>
        <w:tc>
          <w:tcPr>
            <w:tcW w:w="891" w:type="dxa"/>
          </w:tcPr>
          <w:p w14:paraId="77517F56" w14:textId="5F9AFAD2" w:rsidR="00156C94" w:rsidRDefault="00933BC7" w:rsidP="004839A1">
            <w:pPr>
              <w:rPr>
                <w:b/>
                <w:bCs/>
              </w:rPr>
            </w:pPr>
            <w:r>
              <w:rPr>
                <w:b/>
                <w:bCs/>
              </w:rPr>
              <w:t>8</w:t>
            </w:r>
            <w:r w:rsidR="00156C94">
              <w:rPr>
                <w:b/>
                <w:bCs/>
              </w:rPr>
              <w:t>.</w:t>
            </w:r>
          </w:p>
        </w:tc>
        <w:tc>
          <w:tcPr>
            <w:tcW w:w="2932" w:type="dxa"/>
          </w:tcPr>
          <w:p w14:paraId="049086E0" w14:textId="77777777" w:rsidR="00383CB8" w:rsidRPr="00395D03" w:rsidRDefault="00383CB8" w:rsidP="00383CB8">
            <w:r w:rsidRPr="00395D03">
              <w:t xml:space="preserve">Member update and promotional opportunities </w:t>
            </w:r>
          </w:p>
          <w:p w14:paraId="6DAEB3F0" w14:textId="77777777" w:rsidR="00156C94" w:rsidRDefault="00156C94" w:rsidP="00156C94"/>
          <w:p w14:paraId="0C8EFA62" w14:textId="3D3122A1" w:rsidR="00156C94" w:rsidRDefault="00933BC7" w:rsidP="00156C94">
            <w:r>
              <w:rPr>
                <w:i/>
                <w:iCs/>
              </w:rPr>
              <w:t>Members are invited to share any upcoming events that may be happening within their organisation. The NCP is interested to learn if there is collateral or links to our webpage, for example. that could be useful that we could provide/develop.</w:t>
            </w:r>
          </w:p>
        </w:tc>
        <w:tc>
          <w:tcPr>
            <w:tcW w:w="6553" w:type="dxa"/>
          </w:tcPr>
          <w:p w14:paraId="473AF8CA" w14:textId="77777777" w:rsidR="00CC0551" w:rsidRDefault="00010A8D" w:rsidP="00383CB8">
            <w:r>
              <w:t xml:space="preserve">Liaison Group members were invited to share </w:t>
            </w:r>
            <w:r w:rsidR="00383CB8">
              <w:t>updates and provide opportunities for promotional events.</w:t>
            </w:r>
          </w:p>
          <w:p w14:paraId="5F736F3B" w14:textId="77777777" w:rsidR="00383CB8" w:rsidRDefault="00383CB8" w:rsidP="00383CB8"/>
          <w:p w14:paraId="72BCB187" w14:textId="0E156AFB" w:rsidR="00784EE8" w:rsidRDefault="007011DD" w:rsidP="00383CB8">
            <w:r>
              <w:t>MBIE shared that t</w:t>
            </w:r>
            <w:r w:rsidR="00784EE8">
              <w:t xml:space="preserve">he </w:t>
            </w:r>
            <w:r w:rsidR="00784EE8" w:rsidRPr="00784EE8">
              <w:t>I</w:t>
            </w:r>
            <w:r>
              <w:t>ndo Pacific Economic Framework (I</w:t>
            </w:r>
            <w:r w:rsidR="00784EE8" w:rsidRPr="00784EE8">
              <w:t>PEF</w:t>
            </w:r>
            <w:r>
              <w:t>)</w:t>
            </w:r>
            <w:r w:rsidR="00784EE8" w:rsidRPr="00784EE8">
              <w:t xml:space="preserve"> </w:t>
            </w:r>
            <w:r w:rsidR="00431FB9">
              <w:t>Facility-Specific Mechanism</w:t>
            </w:r>
            <w:r w:rsidR="00784EE8">
              <w:t xml:space="preserve"> is at an early implementation stage </w:t>
            </w:r>
            <w:r>
              <w:t>and is seen</w:t>
            </w:r>
            <w:r w:rsidR="00784EE8">
              <w:t xml:space="preserve"> as being complimentary to the NCP function although different in purpose, scope</w:t>
            </w:r>
            <w:r>
              <w:t>,</w:t>
            </w:r>
            <w:r w:rsidR="00784EE8">
              <w:t xml:space="preserve"> and function.  </w:t>
            </w:r>
          </w:p>
          <w:p w14:paraId="44261BFF" w14:textId="77777777" w:rsidR="00933BC7" w:rsidRDefault="00933BC7" w:rsidP="00383CB8"/>
          <w:p w14:paraId="5BBA911F" w14:textId="2FB694B0" w:rsidR="00933BC7" w:rsidRDefault="00933BC7" w:rsidP="00383CB8">
            <w:r w:rsidRPr="00933BC7">
              <w:t>Professor Petra Butler</w:t>
            </w:r>
            <w:r>
              <w:t xml:space="preserve"> noted that two university students are conducting research projects on modern slavery which reference the Guidelines. There may be an opportunity to promote the Guidelines at an upcoming Bill of Rights conference next year.</w:t>
            </w:r>
          </w:p>
          <w:p w14:paraId="60A6AE98" w14:textId="77777777" w:rsidR="00784EE8" w:rsidRDefault="00784EE8" w:rsidP="00383CB8"/>
          <w:p w14:paraId="049BB906" w14:textId="3E999A7B" w:rsidR="00933BC7" w:rsidRPr="00933BC7" w:rsidRDefault="00933BC7" w:rsidP="00383CB8">
            <w:r>
              <w:rPr>
                <w:b/>
                <w:bCs/>
              </w:rPr>
              <w:t xml:space="preserve">Action: </w:t>
            </w:r>
            <w:r>
              <w:t xml:space="preserve">The NCP secretariat will set up meetings with individual members to discuss promotional opportunities. </w:t>
            </w:r>
          </w:p>
          <w:p w14:paraId="64284A0E" w14:textId="47D1AF19" w:rsidR="00933BC7" w:rsidRPr="00CC0551" w:rsidRDefault="00933BC7" w:rsidP="00383CB8"/>
        </w:tc>
      </w:tr>
      <w:tr w:rsidR="00CC0551" w14:paraId="18568095" w14:textId="77777777" w:rsidTr="003759E7">
        <w:trPr>
          <w:gridAfter w:val="1"/>
          <w:wAfter w:w="80" w:type="dxa"/>
        </w:trPr>
        <w:tc>
          <w:tcPr>
            <w:tcW w:w="891" w:type="dxa"/>
          </w:tcPr>
          <w:p w14:paraId="5486F7CB" w14:textId="46FDA8CE" w:rsidR="00CC0551" w:rsidRDefault="00933BC7" w:rsidP="004839A1">
            <w:pPr>
              <w:rPr>
                <w:b/>
                <w:bCs/>
              </w:rPr>
            </w:pPr>
            <w:r>
              <w:rPr>
                <w:b/>
                <w:bCs/>
              </w:rPr>
              <w:t>9</w:t>
            </w:r>
            <w:r w:rsidR="00CC0551">
              <w:rPr>
                <w:b/>
                <w:bCs/>
              </w:rPr>
              <w:t>.</w:t>
            </w:r>
          </w:p>
        </w:tc>
        <w:tc>
          <w:tcPr>
            <w:tcW w:w="2932" w:type="dxa"/>
          </w:tcPr>
          <w:p w14:paraId="3B4DBC19" w14:textId="00CD7343" w:rsidR="00CC0551" w:rsidRPr="00CC0551" w:rsidRDefault="00CC0551" w:rsidP="00CC0551">
            <w:r>
              <w:t>Any other business</w:t>
            </w:r>
          </w:p>
          <w:p w14:paraId="58DD1530" w14:textId="3035D3FD" w:rsidR="00CC0551" w:rsidRDefault="00CC0551" w:rsidP="00CC0551">
            <w:r w:rsidRPr="00CC0551">
              <w:rPr>
                <w:i/>
                <w:iCs/>
              </w:rPr>
              <w:t>OECD Watch review</w:t>
            </w:r>
          </w:p>
        </w:tc>
        <w:tc>
          <w:tcPr>
            <w:tcW w:w="6553" w:type="dxa"/>
          </w:tcPr>
          <w:p w14:paraId="7F6B1124" w14:textId="669801FD" w:rsidR="00784EE8" w:rsidRDefault="007011DD" w:rsidP="00784EE8">
            <w:r>
              <w:t>NCP noted that</w:t>
            </w:r>
            <w:r w:rsidR="00784EE8">
              <w:t xml:space="preserve"> OECD Watch</w:t>
            </w:r>
            <w:r w:rsidR="0032296F">
              <w:t xml:space="preserve"> (a global civil society network)</w:t>
            </w:r>
            <w:r>
              <w:t xml:space="preserve"> is undertaking a review of the NCP global network and </w:t>
            </w:r>
            <w:r w:rsidR="0032296F">
              <w:t xml:space="preserve">NCPs performance. It </w:t>
            </w:r>
            <w:r>
              <w:t xml:space="preserve">has asked all NCPs to complete a survey, which New Zealand has input </w:t>
            </w:r>
            <w:proofErr w:type="gramStart"/>
            <w:r>
              <w:t>in</w:t>
            </w:r>
            <w:r w:rsidR="0032296F">
              <w:t>, and</w:t>
            </w:r>
            <w:proofErr w:type="gramEnd"/>
            <w:r w:rsidR="0032296F">
              <w:t xml:space="preserve"> will be reporting back on its findings at the next meeting of the Working Party on RBC</w:t>
            </w:r>
            <w:r>
              <w:t xml:space="preserve">. </w:t>
            </w:r>
          </w:p>
          <w:p w14:paraId="3482C89A" w14:textId="40659304" w:rsidR="00CC0551" w:rsidRDefault="00CC0551" w:rsidP="004839A1"/>
        </w:tc>
      </w:tr>
    </w:tbl>
    <w:p w14:paraId="3B82122F" w14:textId="77777777" w:rsidR="007C0575" w:rsidRPr="007C0575" w:rsidRDefault="007C0575" w:rsidP="007C0575"/>
    <w:sectPr w:rsidR="007C0575" w:rsidRPr="007C0575" w:rsidSect="000E31A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1122" w14:textId="77777777" w:rsidR="00297B6F" w:rsidRDefault="00297B6F" w:rsidP="00C83C9F">
      <w:pPr>
        <w:spacing w:after="0" w:line="240" w:lineRule="auto"/>
      </w:pPr>
      <w:r>
        <w:separator/>
      </w:r>
    </w:p>
  </w:endnote>
  <w:endnote w:type="continuationSeparator" w:id="0">
    <w:p w14:paraId="6D7CE1AA" w14:textId="77777777" w:rsidR="00297B6F" w:rsidRDefault="00297B6F" w:rsidP="00C8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0FD8E" w14:textId="77777777" w:rsidR="005C5A3E" w:rsidRDefault="005C5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594E" w14:textId="77777777" w:rsidR="005C5A3E" w:rsidRDefault="005C5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A968" w14:textId="77777777" w:rsidR="005C5A3E" w:rsidRDefault="005C5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3726" w14:textId="77777777" w:rsidR="00297B6F" w:rsidRDefault="00297B6F" w:rsidP="00C83C9F">
      <w:pPr>
        <w:spacing w:after="0" w:line="240" w:lineRule="auto"/>
      </w:pPr>
      <w:r>
        <w:separator/>
      </w:r>
    </w:p>
  </w:footnote>
  <w:footnote w:type="continuationSeparator" w:id="0">
    <w:p w14:paraId="1582B919" w14:textId="77777777" w:rsidR="00297B6F" w:rsidRDefault="00297B6F" w:rsidP="00C8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A817" w14:textId="77777777" w:rsidR="005C5A3E" w:rsidRDefault="005C5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CB8F" w14:textId="3D51529F" w:rsidR="005C5A3E" w:rsidRDefault="005C5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EA9" w14:textId="77777777" w:rsidR="005C5A3E" w:rsidRDefault="005C5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5B5"/>
    <w:multiLevelType w:val="hybridMultilevel"/>
    <w:tmpl w:val="DD84BB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C61A49"/>
    <w:multiLevelType w:val="hybridMultilevel"/>
    <w:tmpl w:val="2B12A9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C805B6"/>
    <w:multiLevelType w:val="hybridMultilevel"/>
    <w:tmpl w:val="27344E24"/>
    <w:lvl w:ilvl="0" w:tplc="4ED4906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6F6708"/>
    <w:multiLevelType w:val="hybridMultilevel"/>
    <w:tmpl w:val="D632E5E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FE74FB2"/>
    <w:multiLevelType w:val="hybridMultilevel"/>
    <w:tmpl w:val="F288D132"/>
    <w:lvl w:ilvl="0" w:tplc="D1DA5750">
      <w:start w:val="7"/>
      <w:numFmt w:val="bullet"/>
      <w:lvlText w:val="-"/>
      <w:lvlJc w:val="left"/>
      <w:pPr>
        <w:ind w:left="720" w:hanging="360"/>
      </w:pPr>
      <w:rPr>
        <w:rFonts w:ascii="Calibri" w:eastAsiaTheme="minorHAnsi" w:hAnsi="Calibri" w:cs="Calibri" w:hint="default"/>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C57E51"/>
    <w:multiLevelType w:val="hybridMultilevel"/>
    <w:tmpl w:val="711244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8720FD1"/>
    <w:multiLevelType w:val="hybridMultilevel"/>
    <w:tmpl w:val="DCCAE1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5B57E8"/>
    <w:multiLevelType w:val="hybridMultilevel"/>
    <w:tmpl w:val="CBF65364"/>
    <w:lvl w:ilvl="0" w:tplc="A826376E">
      <w:start w:val="3"/>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E2C4C8F"/>
    <w:multiLevelType w:val="hybridMultilevel"/>
    <w:tmpl w:val="5B2E86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5AA5A47"/>
    <w:multiLevelType w:val="hybridMultilevel"/>
    <w:tmpl w:val="5AD8802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00189952">
    <w:abstractNumId w:val="8"/>
  </w:num>
  <w:num w:numId="2" w16cid:durableId="360010176">
    <w:abstractNumId w:val="3"/>
  </w:num>
  <w:num w:numId="3" w16cid:durableId="227150041">
    <w:abstractNumId w:val="9"/>
  </w:num>
  <w:num w:numId="4" w16cid:durableId="362946943">
    <w:abstractNumId w:val="5"/>
  </w:num>
  <w:num w:numId="5" w16cid:durableId="1098405626">
    <w:abstractNumId w:val="1"/>
  </w:num>
  <w:num w:numId="6" w16cid:durableId="1827628309">
    <w:abstractNumId w:val="2"/>
  </w:num>
  <w:num w:numId="7" w16cid:durableId="1406107342">
    <w:abstractNumId w:val="4"/>
  </w:num>
  <w:num w:numId="8" w16cid:durableId="602497736">
    <w:abstractNumId w:val="7"/>
  </w:num>
  <w:num w:numId="9" w16cid:durableId="830028924">
    <w:abstractNumId w:val="6"/>
  </w:num>
  <w:num w:numId="10" w16cid:durableId="20194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74"/>
    <w:rsid w:val="00010A8D"/>
    <w:rsid w:val="000145F5"/>
    <w:rsid w:val="000223D0"/>
    <w:rsid w:val="00063B98"/>
    <w:rsid w:val="000B3D97"/>
    <w:rsid w:val="000D4A69"/>
    <w:rsid w:val="000D74D9"/>
    <w:rsid w:val="000E31A4"/>
    <w:rsid w:val="00120033"/>
    <w:rsid w:val="001254A5"/>
    <w:rsid w:val="001401CC"/>
    <w:rsid w:val="001472C5"/>
    <w:rsid w:val="00152968"/>
    <w:rsid w:val="00153415"/>
    <w:rsid w:val="00156C94"/>
    <w:rsid w:val="00165737"/>
    <w:rsid w:val="00167FDA"/>
    <w:rsid w:val="001A039F"/>
    <w:rsid w:val="001A66FC"/>
    <w:rsid w:val="001C1F3E"/>
    <w:rsid w:val="001C2F8F"/>
    <w:rsid w:val="001D0E2A"/>
    <w:rsid w:val="001D421F"/>
    <w:rsid w:val="001E31DF"/>
    <w:rsid w:val="001E7847"/>
    <w:rsid w:val="001F52C7"/>
    <w:rsid w:val="002346AA"/>
    <w:rsid w:val="0024616E"/>
    <w:rsid w:val="002515F2"/>
    <w:rsid w:val="002523F8"/>
    <w:rsid w:val="00256945"/>
    <w:rsid w:val="00297B6F"/>
    <w:rsid w:val="002A7074"/>
    <w:rsid w:val="002C6F9A"/>
    <w:rsid w:val="0030034F"/>
    <w:rsid w:val="0032296F"/>
    <w:rsid w:val="003324F0"/>
    <w:rsid w:val="003666ED"/>
    <w:rsid w:val="003759E7"/>
    <w:rsid w:val="00383CB8"/>
    <w:rsid w:val="003C4992"/>
    <w:rsid w:val="003C4C49"/>
    <w:rsid w:val="003D2BF1"/>
    <w:rsid w:val="003D63DD"/>
    <w:rsid w:val="003D7F98"/>
    <w:rsid w:val="003F6206"/>
    <w:rsid w:val="004077D9"/>
    <w:rsid w:val="004159C7"/>
    <w:rsid w:val="00423F5D"/>
    <w:rsid w:val="00431FB9"/>
    <w:rsid w:val="0043351E"/>
    <w:rsid w:val="00434ADC"/>
    <w:rsid w:val="00454BB7"/>
    <w:rsid w:val="004730C1"/>
    <w:rsid w:val="0048180F"/>
    <w:rsid w:val="004839A1"/>
    <w:rsid w:val="00484AA1"/>
    <w:rsid w:val="004A3767"/>
    <w:rsid w:val="004D7A52"/>
    <w:rsid w:val="004E6DF0"/>
    <w:rsid w:val="004F0942"/>
    <w:rsid w:val="004F2279"/>
    <w:rsid w:val="004F519B"/>
    <w:rsid w:val="0050413F"/>
    <w:rsid w:val="005108A1"/>
    <w:rsid w:val="00511673"/>
    <w:rsid w:val="00534E4B"/>
    <w:rsid w:val="00560C25"/>
    <w:rsid w:val="00562F89"/>
    <w:rsid w:val="00566A58"/>
    <w:rsid w:val="00593508"/>
    <w:rsid w:val="00594E84"/>
    <w:rsid w:val="005B2994"/>
    <w:rsid w:val="005C16C7"/>
    <w:rsid w:val="005C5A3E"/>
    <w:rsid w:val="005F2303"/>
    <w:rsid w:val="00620555"/>
    <w:rsid w:val="00626106"/>
    <w:rsid w:val="0063062C"/>
    <w:rsid w:val="00642356"/>
    <w:rsid w:val="00643126"/>
    <w:rsid w:val="00643C04"/>
    <w:rsid w:val="00644D0F"/>
    <w:rsid w:val="0066604D"/>
    <w:rsid w:val="006A5093"/>
    <w:rsid w:val="006C796F"/>
    <w:rsid w:val="007011DD"/>
    <w:rsid w:val="0070198F"/>
    <w:rsid w:val="0070588F"/>
    <w:rsid w:val="007074FA"/>
    <w:rsid w:val="00716743"/>
    <w:rsid w:val="00726E67"/>
    <w:rsid w:val="00762530"/>
    <w:rsid w:val="00784EE8"/>
    <w:rsid w:val="007C0575"/>
    <w:rsid w:val="007F18F3"/>
    <w:rsid w:val="007F2722"/>
    <w:rsid w:val="0080038E"/>
    <w:rsid w:val="0080260B"/>
    <w:rsid w:val="00813218"/>
    <w:rsid w:val="00833B5A"/>
    <w:rsid w:val="008512AD"/>
    <w:rsid w:val="00856182"/>
    <w:rsid w:val="00861AF7"/>
    <w:rsid w:val="00885BB8"/>
    <w:rsid w:val="008954EF"/>
    <w:rsid w:val="008D28DE"/>
    <w:rsid w:val="008D6CE1"/>
    <w:rsid w:val="008F0A61"/>
    <w:rsid w:val="00914E7A"/>
    <w:rsid w:val="00933BC7"/>
    <w:rsid w:val="00937B42"/>
    <w:rsid w:val="0095724B"/>
    <w:rsid w:val="009826C7"/>
    <w:rsid w:val="00986800"/>
    <w:rsid w:val="009A001A"/>
    <w:rsid w:val="009B74F0"/>
    <w:rsid w:val="009E1CD5"/>
    <w:rsid w:val="009F2349"/>
    <w:rsid w:val="009F724E"/>
    <w:rsid w:val="00A10777"/>
    <w:rsid w:val="00A91E50"/>
    <w:rsid w:val="00AB7C9B"/>
    <w:rsid w:val="00AF404F"/>
    <w:rsid w:val="00B057D0"/>
    <w:rsid w:val="00B33EDE"/>
    <w:rsid w:val="00B40C4F"/>
    <w:rsid w:val="00B81DD7"/>
    <w:rsid w:val="00B924F5"/>
    <w:rsid w:val="00BA2734"/>
    <w:rsid w:val="00BA27FE"/>
    <w:rsid w:val="00BA7604"/>
    <w:rsid w:val="00BC3C38"/>
    <w:rsid w:val="00BF1C49"/>
    <w:rsid w:val="00BF737E"/>
    <w:rsid w:val="00C274D8"/>
    <w:rsid w:val="00C4353E"/>
    <w:rsid w:val="00C53F28"/>
    <w:rsid w:val="00C74DA6"/>
    <w:rsid w:val="00C83C9F"/>
    <w:rsid w:val="00C9489C"/>
    <w:rsid w:val="00CA7511"/>
    <w:rsid w:val="00CC0551"/>
    <w:rsid w:val="00CD5321"/>
    <w:rsid w:val="00CF3094"/>
    <w:rsid w:val="00CF760C"/>
    <w:rsid w:val="00D16F83"/>
    <w:rsid w:val="00D62420"/>
    <w:rsid w:val="00E40E35"/>
    <w:rsid w:val="00E701FE"/>
    <w:rsid w:val="00E83A44"/>
    <w:rsid w:val="00E84095"/>
    <w:rsid w:val="00E9777E"/>
    <w:rsid w:val="00ED318C"/>
    <w:rsid w:val="00EE15EB"/>
    <w:rsid w:val="00EE29BE"/>
    <w:rsid w:val="00EE7AC3"/>
    <w:rsid w:val="00EF55A6"/>
    <w:rsid w:val="00F02BCA"/>
    <w:rsid w:val="00F133C6"/>
    <w:rsid w:val="00F72002"/>
    <w:rsid w:val="00FA5272"/>
    <w:rsid w:val="00FE0DA6"/>
    <w:rsid w:val="00FE7165"/>
    <w:rsid w:val="00FE7E98"/>
    <w:rsid w:val="13FE18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DE6C3"/>
  <w15:docId w15:val="{80BF7586-DAFD-4DF3-9654-8696874C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074"/>
    <w:pPr>
      <w:ind w:left="720"/>
      <w:contextualSpacing/>
    </w:pPr>
  </w:style>
  <w:style w:type="table" w:styleId="TableGrid">
    <w:name w:val="Table Grid"/>
    <w:basedOn w:val="TableNormal"/>
    <w:uiPriority w:val="39"/>
    <w:rsid w:val="002A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C9F"/>
  </w:style>
  <w:style w:type="paragraph" w:styleId="Footer">
    <w:name w:val="footer"/>
    <w:basedOn w:val="Normal"/>
    <w:link w:val="FooterChar"/>
    <w:uiPriority w:val="99"/>
    <w:unhideWhenUsed/>
    <w:rsid w:val="00C8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C9F"/>
  </w:style>
  <w:style w:type="paragraph" w:styleId="Revision">
    <w:name w:val="Revision"/>
    <w:hidden/>
    <w:uiPriority w:val="99"/>
    <w:semiHidden/>
    <w:rsid w:val="009E1CD5"/>
    <w:pPr>
      <w:spacing w:after="0" w:line="240" w:lineRule="auto"/>
    </w:pPr>
  </w:style>
  <w:style w:type="table" w:styleId="TableGridLight">
    <w:name w:val="Grid Table Light"/>
    <w:basedOn w:val="TableNormal"/>
    <w:uiPriority w:val="40"/>
    <w:rsid w:val="001E78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40C4F"/>
    <w:rPr>
      <w:sz w:val="16"/>
      <w:szCs w:val="16"/>
    </w:rPr>
  </w:style>
  <w:style w:type="paragraph" w:styleId="CommentText">
    <w:name w:val="annotation text"/>
    <w:basedOn w:val="Normal"/>
    <w:link w:val="CommentTextChar"/>
    <w:uiPriority w:val="99"/>
    <w:unhideWhenUsed/>
    <w:rsid w:val="00B40C4F"/>
    <w:pPr>
      <w:spacing w:line="240" w:lineRule="auto"/>
    </w:pPr>
    <w:rPr>
      <w:sz w:val="20"/>
      <w:szCs w:val="20"/>
    </w:rPr>
  </w:style>
  <w:style w:type="character" w:customStyle="1" w:styleId="CommentTextChar">
    <w:name w:val="Comment Text Char"/>
    <w:basedOn w:val="DefaultParagraphFont"/>
    <w:link w:val="CommentText"/>
    <w:uiPriority w:val="99"/>
    <w:rsid w:val="00B40C4F"/>
    <w:rPr>
      <w:sz w:val="20"/>
      <w:szCs w:val="20"/>
    </w:rPr>
  </w:style>
  <w:style w:type="paragraph" w:styleId="CommentSubject">
    <w:name w:val="annotation subject"/>
    <w:basedOn w:val="CommentText"/>
    <w:next w:val="CommentText"/>
    <w:link w:val="CommentSubjectChar"/>
    <w:uiPriority w:val="99"/>
    <w:semiHidden/>
    <w:unhideWhenUsed/>
    <w:rsid w:val="00B40C4F"/>
    <w:rPr>
      <w:b/>
      <w:bCs/>
    </w:rPr>
  </w:style>
  <w:style w:type="character" w:customStyle="1" w:styleId="CommentSubjectChar">
    <w:name w:val="Comment Subject Char"/>
    <w:basedOn w:val="CommentTextChar"/>
    <w:link w:val="CommentSubject"/>
    <w:uiPriority w:val="99"/>
    <w:semiHidden/>
    <w:rsid w:val="00B40C4F"/>
    <w:rPr>
      <w:b/>
      <w:bCs/>
      <w:sz w:val="20"/>
      <w:szCs w:val="20"/>
    </w:rPr>
  </w:style>
  <w:style w:type="character" w:styleId="Hyperlink">
    <w:name w:val="Hyperlink"/>
    <w:basedOn w:val="DefaultParagraphFont"/>
    <w:uiPriority w:val="99"/>
    <w:unhideWhenUsed/>
    <w:rsid w:val="004730C1"/>
    <w:rPr>
      <w:color w:val="0000FF"/>
      <w:u w:val="single"/>
    </w:rPr>
  </w:style>
  <w:style w:type="character" w:styleId="FollowedHyperlink">
    <w:name w:val="FollowedHyperlink"/>
    <w:basedOn w:val="DefaultParagraphFont"/>
    <w:uiPriority w:val="99"/>
    <w:semiHidden/>
    <w:unhideWhenUsed/>
    <w:rsid w:val="00626106"/>
    <w:rPr>
      <w:color w:val="954F72" w:themeColor="followedHyperlink"/>
      <w:u w:val="single"/>
    </w:rPr>
  </w:style>
  <w:style w:type="character" w:styleId="UnresolvedMention">
    <w:name w:val="Unresolved Mention"/>
    <w:basedOn w:val="DefaultParagraphFont"/>
    <w:uiPriority w:val="99"/>
    <w:semiHidden/>
    <w:unhideWhenUsed/>
    <w:rsid w:val="00626106"/>
    <w:rPr>
      <w:color w:val="605E5C"/>
      <w:shd w:val="clear" w:color="auto" w:fill="E1DFDD"/>
    </w:rPr>
  </w:style>
  <w:style w:type="character" w:customStyle="1" w:styleId="xxcf11">
    <w:name w:val="x_xcf11"/>
    <w:basedOn w:val="DefaultParagraphFont"/>
    <w:rsid w:val="00FA5272"/>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5807">
      <w:bodyDiv w:val="1"/>
      <w:marLeft w:val="0"/>
      <w:marRight w:val="0"/>
      <w:marTop w:val="0"/>
      <w:marBottom w:val="0"/>
      <w:divBdr>
        <w:top w:val="none" w:sz="0" w:space="0" w:color="auto"/>
        <w:left w:val="none" w:sz="0" w:space="0" w:color="auto"/>
        <w:bottom w:val="none" w:sz="0" w:space="0" w:color="auto"/>
        <w:right w:val="none" w:sz="0" w:space="0" w:color="auto"/>
      </w:divBdr>
    </w:div>
    <w:div w:id="132719770">
      <w:bodyDiv w:val="1"/>
      <w:marLeft w:val="0"/>
      <w:marRight w:val="0"/>
      <w:marTop w:val="0"/>
      <w:marBottom w:val="0"/>
      <w:divBdr>
        <w:top w:val="none" w:sz="0" w:space="0" w:color="auto"/>
        <w:left w:val="none" w:sz="0" w:space="0" w:color="auto"/>
        <w:bottom w:val="none" w:sz="0" w:space="0" w:color="auto"/>
        <w:right w:val="none" w:sz="0" w:space="0" w:color="auto"/>
      </w:divBdr>
    </w:div>
    <w:div w:id="195586661">
      <w:bodyDiv w:val="1"/>
      <w:marLeft w:val="0"/>
      <w:marRight w:val="0"/>
      <w:marTop w:val="0"/>
      <w:marBottom w:val="0"/>
      <w:divBdr>
        <w:top w:val="none" w:sz="0" w:space="0" w:color="auto"/>
        <w:left w:val="none" w:sz="0" w:space="0" w:color="auto"/>
        <w:bottom w:val="none" w:sz="0" w:space="0" w:color="auto"/>
        <w:right w:val="none" w:sz="0" w:space="0" w:color="auto"/>
      </w:divBdr>
    </w:div>
    <w:div w:id="391588402">
      <w:bodyDiv w:val="1"/>
      <w:marLeft w:val="0"/>
      <w:marRight w:val="0"/>
      <w:marTop w:val="0"/>
      <w:marBottom w:val="0"/>
      <w:divBdr>
        <w:top w:val="none" w:sz="0" w:space="0" w:color="auto"/>
        <w:left w:val="none" w:sz="0" w:space="0" w:color="auto"/>
        <w:bottom w:val="none" w:sz="0" w:space="0" w:color="auto"/>
        <w:right w:val="none" w:sz="0" w:space="0" w:color="auto"/>
      </w:divBdr>
    </w:div>
    <w:div w:id="528226999">
      <w:bodyDiv w:val="1"/>
      <w:marLeft w:val="0"/>
      <w:marRight w:val="0"/>
      <w:marTop w:val="0"/>
      <w:marBottom w:val="0"/>
      <w:divBdr>
        <w:top w:val="none" w:sz="0" w:space="0" w:color="auto"/>
        <w:left w:val="none" w:sz="0" w:space="0" w:color="auto"/>
        <w:bottom w:val="none" w:sz="0" w:space="0" w:color="auto"/>
        <w:right w:val="none" w:sz="0" w:space="0" w:color="auto"/>
      </w:divBdr>
    </w:div>
    <w:div w:id="688216679">
      <w:bodyDiv w:val="1"/>
      <w:marLeft w:val="0"/>
      <w:marRight w:val="0"/>
      <w:marTop w:val="0"/>
      <w:marBottom w:val="0"/>
      <w:divBdr>
        <w:top w:val="none" w:sz="0" w:space="0" w:color="auto"/>
        <w:left w:val="none" w:sz="0" w:space="0" w:color="auto"/>
        <w:bottom w:val="none" w:sz="0" w:space="0" w:color="auto"/>
        <w:right w:val="none" w:sz="0" w:space="0" w:color="auto"/>
      </w:divBdr>
    </w:div>
    <w:div w:id="870460291">
      <w:bodyDiv w:val="1"/>
      <w:marLeft w:val="0"/>
      <w:marRight w:val="0"/>
      <w:marTop w:val="0"/>
      <w:marBottom w:val="0"/>
      <w:divBdr>
        <w:top w:val="none" w:sz="0" w:space="0" w:color="auto"/>
        <w:left w:val="none" w:sz="0" w:space="0" w:color="auto"/>
        <w:bottom w:val="none" w:sz="0" w:space="0" w:color="auto"/>
        <w:right w:val="none" w:sz="0" w:space="0" w:color="auto"/>
      </w:divBdr>
    </w:div>
    <w:div w:id="878010377">
      <w:bodyDiv w:val="1"/>
      <w:marLeft w:val="0"/>
      <w:marRight w:val="0"/>
      <w:marTop w:val="0"/>
      <w:marBottom w:val="0"/>
      <w:divBdr>
        <w:top w:val="none" w:sz="0" w:space="0" w:color="auto"/>
        <w:left w:val="none" w:sz="0" w:space="0" w:color="auto"/>
        <w:bottom w:val="none" w:sz="0" w:space="0" w:color="auto"/>
        <w:right w:val="none" w:sz="0" w:space="0" w:color="auto"/>
      </w:divBdr>
    </w:div>
    <w:div w:id="1145198435">
      <w:bodyDiv w:val="1"/>
      <w:marLeft w:val="0"/>
      <w:marRight w:val="0"/>
      <w:marTop w:val="0"/>
      <w:marBottom w:val="0"/>
      <w:divBdr>
        <w:top w:val="none" w:sz="0" w:space="0" w:color="auto"/>
        <w:left w:val="none" w:sz="0" w:space="0" w:color="auto"/>
        <w:bottom w:val="none" w:sz="0" w:space="0" w:color="auto"/>
        <w:right w:val="none" w:sz="0" w:space="0" w:color="auto"/>
      </w:divBdr>
    </w:div>
    <w:div w:id="1435058529">
      <w:bodyDiv w:val="1"/>
      <w:marLeft w:val="0"/>
      <w:marRight w:val="0"/>
      <w:marTop w:val="0"/>
      <w:marBottom w:val="0"/>
      <w:divBdr>
        <w:top w:val="none" w:sz="0" w:space="0" w:color="auto"/>
        <w:left w:val="none" w:sz="0" w:space="0" w:color="auto"/>
        <w:bottom w:val="none" w:sz="0" w:space="0" w:color="auto"/>
        <w:right w:val="none" w:sz="0" w:space="0" w:color="auto"/>
      </w:divBdr>
    </w:div>
    <w:div w:id="1456873758">
      <w:bodyDiv w:val="1"/>
      <w:marLeft w:val="0"/>
      <w:marRight w:val="0"/>
      <w:marTop w:val="0"/>
      <w:marBottom w:val="0"/>
      <w:divBdr>
        <w:top w:val="none" w:sz="0" w:space="0" w:color="auto"/>
        <w:left w:val="none" w:sz="0" w:space="0" w:color="auto"/>
        <w:bottom w:val="none" w:sz="0" w:space="0" w:color="auto"/>
        <w:right w:val="none" w:sz="0" w:space="0" w:color="auto"/>
      </w:divBdr>
    </w:div>
    <w:div w:id="1532105980">
      <w:bodyDiv w:val="1"/>
      <w:marLeft w:val="0"/>
      <w:marRight w:val="0"/>
      <w:marTop w:val="0"/>
      <w:marBottom w:val="0"/>
      <w:divBdr>
        <w:top w:val="none" w:sz="0" w:space="0" w:color="auto"/>
        <w:left w:val="none" w:sz="0" w:space="0" w:color="auto"/>
        <w:bottom w:val="none" w:sz="0" w:space="0" w:color="auto"/>
        <w:right w:val="none" w:sz="0" w:space="0" w:color="auto"/>
      </w:divBdr>
    </w:div>
    <w:div w:id="1731492132">
      <w:bodyDiv w:val="1"/>
      <w:marLeft w:val="0"/>
      <w:marRight w:val="0"/>
      <w:marTop w:val="0"/>
      <w:marBottom w:val="0"/>
      <w:divBdr>
        <w:top w:val="none" w:sz="0" w:space="0" w:color="auto"/>
        <w:left w:val="none" w:sz="0" w:space="0" w:color="auto"/>
        <w:bottom w:val="none" w:sz="0" w:space="0" w:color="auto"/>
        <w:right w:val="none" w:sz="0" w:space="0" w:color="auto"/>
      </w:divBdr>
    </w:div>
    <w:div w:id="2060012108">
      <w:bodyDiv w:val="1"/>
      <w:marLeft w:val="0"/>
      <w:marRight w:val="0"/>
      <w:marTop w:val="0"/>
      <w:marBottom w:val="0"/>
      <w:divBdr>
        <w:top w:val="none" w:sz="0" w:space="0" w:color="auto"/>
        <w:left w:val="none" w:sz="0" w:space="0" w:color="auto"/>
        <w:bottom w:val="none" w:sz="0" w:space="0" w:color="auto"/>
        <w:right w:val="none" w:sz="0" w:space="0" w:color="auto"/>
      </w:divBdr>
    </w:div>
    <w:div w:id="2066484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5CAEF-F6BE-43D5-AC67-982DB90D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6134</Characters>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National Contact Point Liaison Group Meeting Minutes 5 December 2024</dc:title>
  <dc:subject/>
  <dc:creator>Ministry of Business, Innovation &amp; Employment</dc:creator>
  <cp:keywords>MAKO ID 176559879</cp:keywords>
  <dc:description/>
  <cp:lastPrinted>2024-07-09T01:00:00Z</cp:lastPrinted>
  <dcterms:created xsi:type="dcterms:W3CDTF">2025-07-03T23:02:00Z</dcterms:created>
  <dcterms:modified xsi:type="dcterms:W3CDTF">2025-07-03T23:02:00Z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2023-06-07T03:57:20Z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ff5d781c-4c82-468b-9d35-92507bec15e8</vt:lpwstr>
  </property>
  <property fmtid="{D5CDD505-2E9C-101B-9397-08002B2CF9AE}" pid="8" name="MSIP_Label_738466f7-346c-47bb-a4d2-4a6558d61975_ContentBits">
    <vt:lpwstr>0</vt:lpwstr>
  </property>
</Properties>
</file>