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8E06" w14:textId="5992A804" w:rsidR="006E54A0" w:rsidRPr="001C2F8F" w:rsidRDefault="006E54A0" w:rsidP="006E54A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New Zealand </w:t>
      </w:r>
      <w:r w:rsidRPr="001C2F8F">
        <w:rPr>
          <w:b/>
          <w:bCs/>
          <w:sz w:val="24"/>
          <w:szCs w:val="24"/>
        </w:rPr>
        <w:t xml:space="preserve">National Contact Point </w:t>
      </w:r>
      <w:r w:rsidR="00847750">
        <w:rPr>
          <w:b/>
          <w:bCs/>
          <w:sz w:val="24"/>
          <w:szCs w:val="24"/>
        </w:rPr>
        <w:t xml:space="preserve">(NCP) </w:t>
      </w:r>
      <w:r w:rsidRPr="001C2F8F">
        <w:rPr>
          <w:b/>
          <w:bCs/>
          <w:sz w:val="24"/>
          <w:szCs w:val="24"/>
        </w:rPr>
        <w:t xml:space="preserve">Liaison Group Meeting: Minutes </w:t>
      </w:r>
      <w:r>
        <w:rPr>
          <w:b/>
          <w:bCs/>
          <w:sz w:val="24"/>
          <w:szCs w:val="24"/>
        </w:rPr>
        <w:t>17 July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"/>
        <w:gridCol w:w="2932"/>
        <w:gridCol w:w="6633"/>
      </w:tblGrid>
      <w:tr w:rsidR="006E54A0" w14:paraId="08824642" w14:textId="77777777" w:rsidTr="009F4E7F">
        <w:tc>
          <w:tcPr>
            <w:tcW w:w="3823" w:type="dxa"/>
            <w:gridSpan w:val="2"/>
          </w:tcPr>
          <w:p w14:paraId="00B16E04" w14:textId="32FF7264" w:rsidR="006E54A0" w:rsidRDefault="006E54A0" w:rsidP="009F4E7F">
            <w:pPr>
              <w:rPr>
                <w:b/>
                <w:bCs/>
              </w:rPr>
            </w:pPr>
            <w:r>
              <w:rPr>
                <w:b/>
                <w:bCs/>
              </w:rPr>
              <w:t>Attendees</w:t>
            </w:r>
          </w:p>
          <w:p w14:paraId="31D63A77" w14:textId="1BFB4F3B" w:rsidR="006E54A0" w:rsidRPr="003F6206" w:rsidRDefault="006E54A0" w:rsidP="009F4E7F">
            <w:pPr>
              <w:rPr>
                <w:b/>
                <w:bCs/>
              </w:rPr>
            </w:pPr>
          </w:p>
        </w:tc>
        <w:tc>
          <w:tcPr>
            <w:tcW w:w="6633" w:type="dxa"/>
          </w:tcPr>
          <w:p w14:paraId="6DDF33DB" w14:textId="1F11B99E" w:rsidR="006E54A0" w:rsidRDefault="00F12F0B" w:rsidP="00030AFF">
            <w:r>
              <w:t xml:space="preserve">Ministry of Business, Innovation and Employment (MBIE) – </w:t>
            </w:r>
            <w:r w:rsidR="00847750">
              <w:t xml:space="preserve">NCP/Liaison Group </w:t>
            </w:r>
            <w:r w:rsidR="00F26A08">
              <w:t>Chair</w:t>
            </w:r>
            <w:r w:rsidR="00EE00D6">
              <w:t>; NCP Secretariat/Trade and Supply Chains; Employment Standards</w:t>
            </w:r>
          </w:p>
          <w:p w14:paraId="32F082E3" w14:textId="77777777" w:rsidR="00EE00D6" w:rsidRDefault="00EE00D6" w:rsidP="00030AFF">
            <w:r>
              <w:t>Human Rights Commission</w:t>
            </w:r>
          </w:p>
          <w:p w14:paraId="666064A4" w14:textId="77777777" w:rsidR="00EE00D6" w:rsidRDefault="00EE00D6" w:rsidP="00030AFF">
            <w:r>
              <w:t>Professor Petra Butler</w:t>
            </w:r>
          </w:p>
          <w:p w14:paraId="6C7C001D" w14:textId="77777777" w:rsidR="00EE00D6" w:rsidRDefault="00EE00D6" w:rsidP="00030AFF">
            <w:r>
              <w:t>Ministry of Foreign Affairs and Trade</w:t>
            </w:r>
          </w:p>
          <w:p w14:paraId="2D7723C7" w14:textId="77777777" w:rsidR="00EE00D6" w:rsidRDefault="00EE00D6" w:rsidP="00030AFF">
            <w:r>
              <w:t>New Zealand Trade and Enterprise</w:t>
            </w:r>
          </w:p>
          <w:p w14:paraId="29FE517C" w14:textId="77777777" w:rsidR="00EE00D6" w:rsidRDefault="00EE00D6" w:rsidP="00030AFF">
            <w:r>
              <w:t>Deloitte</w:t>
            </w:r>
          </w:p>
          <w:p w14:paraId="1A22661F" w14:textId="77777777" w:rsidR="00EE00D6" w:rsidRDefault="00EE00D6" w:rsidP="00030AFF">
            <w:r>
              <w:t>Institute of Directors</w:t>
            </w:r>
          </w:p>
          <w:p w14:paraId="70FBD75F" w14:textId="4F78D5F4" w:rsidR="00BC0252" w:rsidRPr="008D28DE" w:rsidRDefault="00EE00D6" w:rsidP="00030AFF">
            <w:r>
              <w:t>Transparency New Zealand</w:t>
            </w:r>
          </w:p>
        </w:tc>
      </w:tr>
      <w:tr w:rsidR="00BC0252" w14:paraId="701111C8" w14:textId="77777777" w:rsidTr="009F4E7F">
        <w:tc>
          <w:tcPr>
            <w:tcW w:w="3823" w:type="dxa"/>
            <w:gridSpan w:val="2"/>
          </w:tcPr>
          <w:p w14:paraId="4DCC5DBD" w14:textId="131B591D" w:rsidR="00BC0252" w:rsidRDefault="00BC0252" w:rsidP="009F4E7F">
            <w:pPr>
              <w:rPr>
                <w:b/>
                <w:bCs/>
              </w:rPr>
            </w:pPr>
            <w:r>
              <w:rPr>
                <w:b/>
                <w:bCs/>
              </w:rPr>
              <w:t>Apologies</w:t>
            </w:r>
          </w:p>
        </w:tc>
        <w:tc>
          <w:tcPr>
            <w:tcW w:w="6633" w:type="dxa"/>
          </w:tcPr>
          <w:p w14:paraId="4480B0DF" w14:textId="77777777" w:rsidR="00BC0252" w:rsidRDefault="00BC0252" w:rsidP="00030AFF">
            <w:r>
              <w:t>Ministry of Justice</w:t>
            </w:r>
          </w:p>
          <w:p w14:paraId="4CF3364C" w14:textId="77777777" w:rsidR="00BC0252" w:rsidRDefault="00BC0252" w:rsidP="00030AFF">
            <w:r>
              <w:t>Ministry for Primary Industries</w:t>
            </w:r>
          </w:p>
          <w:p w14:paraId="3434FE6B" w14:textId="02029179" w:rsidR="001202ED" w:rsidRDefault="00BC0252" w:rsidP="00030AFF">
            <w:r>
              <w:t>E</w:t>
            </w:r>
            <w:r w:rsidR="001202ED">
              <w:t xml:space="preserve"> </w:t>
            </w:r>
            <w:proofErr w:type="spellStart"/>
            <w:r w:rsidR="001202ED">
              <w:t>Tū</w:t>
            </w:r>
            <w:proofErr w:type="spellEnd"/>
          </w:p>
        </w:tc>
      </w:tr>
      <w:tr w:rsidR="006E54A0" w14:paraId="151AD584" w14:textId="77777777" w:rsidTr="009F4E7F">
        <w:tc>
          <w:tcPr>
            <w:tcW w:w="891" w:type="dxa"/>
          </w:tcPr>
          <w:p w14:paraId="08CE1770" w14:textId="77777777" w:rsidR="006E54A0" w:rsidRDefault="006E54A0" w:rsidP="009F4E7F">
            <w:pPr>
              <w:rPr>
                <w:b/>
                <w:bCs/>
                <w:i/>
                <w:iCs/>
              </w:rPr>
            </w:pPr>
          </w:p>
          <w:p w14:paraId="6565E5C6" w14:textId="77777777" w:rsidR="006E54A0" w:rsidRPr="003F6206" w:rsidRDefault="006E54A0" w:rsidP="009F4E7F">
            <w:pPr>
              <w:rPr>
                <w:b/>
                <w:bCs/>
                <w:i/>
                <w:iCs/>
              </w:rPr>
            </w:pPr>
            <w:r w:rsidRPr="003F6206">
              <w:rPr>
                <w:b/>
                <w:bCs/>
                <w:i/>
                <w:iCs/>
              </w:rPr>
              <w:t>Item</w:t>
            </w:r>
          </w:p>
        </w:tc>
        <w:tc>
          <w:tcPr>
            <w:tcW w:w="2932" w:type="dxa"/>
          </w:tcPr>
          <w:p w14:paraId="112CBEB7" w14:textId="77777777" w:rsidR="006E54A0" w:rsidRDefault="006E54A0" w:rsidP="009F4E7F">
            <w:pPr>
              <w:rPr>
                <w:b/>
                <w:bCs/>
                <w:i/>
                <w:iCs/>
              </w:rPr>
            </w:pPr>
          </w:p>
          <w:p w14:paraId="7C9D2787" w14:textId="77777777" w:rsidR="006E54A0" w:rsidRPr="003F6206" w:rsidRDefault="006E54A0" w:rsidP="009F4E7F">
            <w:pPr>
              <w:rPr>
                <w:b/>
                <w:bCs/>
              </w:rPr>
            </w:pPr>
            <w:r w:rsidRPr="003F6206">
              <w:rPr>
                <w:b/>
                <w:bCs/>
                <w:i/>
                <w:iCs/>
              </w:rPr>
              <w:t>Description</w:t>
            </w:r>
            <w:r>
              <w:rPr>
                <w:b/>
                <w:bCs/>
                <w:i/>
                <w:iCs/>
              </w:rPr>
              <w:t>/Attachment</w:t>
            </w:r>
          </w:p>
        </w:tc>
        <w:tc>
          <w:tcPr>
            <w:tcW w:w="6633" w:type="dxa"/>
          </w:tcPr>
          <w:p w14:paraId="340256F6" w14:textId="77777777" w:rsidR="006E54A0" w:rsidRDefault="006E54A0" w:rsidP="009F4E7F">
            <w:pPr>
              <w:tabs>
                <w:tab w:val="left" w:pos="1308"/>
                <w:tab w:val="left" w:pos="4152"/>
              </w:tabs>
              <w:rPr>
                <w:b/>
                <w:bCs/>
                <w:i/>
                <w:iCs/>
              </w:rPr>
            </w:pPr>
            <w:r w:rsidRPr="003F6206">
              <w:rPr>
                <w:b/>
                <w:bCs/>
                <w:i/>
                <w:iCs/>
              </w:rPr>
              <w:tab/>
            </w:r>
            <w:r>
              <w:rPr>
                <w:b/>
                <w:bCs/>
                <w:i/>
                <w:iCs/>
              </w:rPr>
              <w:tab/>
            </w:r>
            <w:r w:rsidRPr="003F6206">
              <w:rPr>
                <w:b/>
                <w:bCs/>
                <w:i/>
                <w:iCs/>
              </w:rPr>
              <w:t xml:space="preserve">    </w:t>
            </w:r>
            <w:r>
              <w:rPr>
                <w:b/>
                <w:bCs/>
                <w:i/>
                <w:iCs/>
              </w:rPr>
              <w:t xml:space="preserve">        </w:t>
            </w:r>
          </w:p>
          <w:p w14:paraId="58CEEB04" w14:textId="77777777" w:rsidR="006E54A0" w:rsidRPr="003F6206" w:rsidRDefault="006E54A0" w:rsidP="009F4E7F">
            <w:pPr>
              <w:tabs>
                <w:tab w:val="left" w:pos="1308"/>
                <w:tab w:val="left" w:pos="4152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Notes/Action</w:t>
            </w:r>
          </w:p>
        </w:tc>
      </w:tr>
      <w:tr w:rsidR="006E54A0" w14:paraId="37C1C836" w14:textId="77777777" w:rsidTr="009F4E7F">
        <w:tc>
          <w:tcPr>
            <w:tcW w:w="891" w:type="dxa"/>
          </w:tcPr>
          <w:p w14:paraId="19A067C9" w14:textId="34C2A513" w:rsidR="006E54A0" w:rsidRPr="00B81DD7" w:rsidRDefault="006E54A0" w:rsidP="009F4E7F">
            <w:pPr>
              <w:rPr>
                <w:b/>
                <w:bCs/>
              </w:rPr>
            </w:pPr>
            <w:r w:rsidRPr="00B81DD7">
              <w:rPr>
                <w:b/>
                <w:bCs/>
              </w:rPr>
              <w:t xml:space="preserve">1. </w:t>
            </w:r>
          </w:p>
        </w:tc>
        <w:tc>
          <w:tcPr>
            <w:tcW w:w="2932" w:type="dxa"/>
          </w:tcPr>
          <w:p w14:paraId="39BA57CC" w14:textId="77777777" w:rsidR="006E54A0" w:rsidRDefault="006E54A0" w:rsidP="009F4E7F">
            <w:r>
              <w:t>Welcome and Introduction from the Chair</w:t>
            </w:r>
          </w:p>
        </w:tc>
        <w:tc>
          <w:tcPr>
            <w:tcW w:w="6633" w:type="dxa"/>
          </w:tcPr>
          <w:p w14:paraId="3CC6F56A" w14:textId="7D1A0E82" w:rsidR="006E54A0" w:rsidRDefault="006E54A0" w:rsidP="009F4E7F">
            <w:r>
              <w:t>The Chair</w:t>
            </w:r>
            <w:r w:rsidR="00030AFF">
              <w:t xml:space="preserve"> (</w:t>
            </w:r>
            <w:r>
              <w:t>NCP</w:t>
            </w:r>
            <w:r w:rsidR="00030AFF">
              <w:t>)</w:t>
            </w:r>
            <w:r>
              <w:t xml:space="preserve"> opened the meeting. </w:t>
            </w:r>
          </w:p>
        </w:tc>
      </w:tr>
      <w:tr w:rsidR="006E54A0" w14:paraId="0968AFDE" w14:textId="77777777" w:rsidTr="009F4E7F">
        <w:tc>
          <w:tcPr>
            <w:tcW w:w="891" w:type="dxa"/>
          </w:tcPr>
          <w:p w14:paraId="202A9E41" w14:textId="77777777" w:rsidR="006E54A0" w:rsidRDefault="006E54A0" w:rsidP="009F4E7F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932" w:type="dxa"/>
          </w:tcPr>
          <w:p w14:paraId="1E05E6E7" w14:textId="77777777" w:rsidR="006E54A0" w:rsidRDefault="006E54A0" w:rsidP="009F4E7F">
            <w:r>
              <w:t>Adoption of agenda</w:t>
            </w:r>
          </w:p>
        </w:tc>
        <w:tc>
          <w:tcPr>
            <w:tcW w:w="6633" w:type="dxa"/>
          </w:tcPr>
          <w:p w14:paraId="6377E3BD" w14:textId="77777777" w:rsidR="006E54A0" w:rsidRDefault="006E54A0" w:rsidP="009F4E7F">
            <w:r>
              <w:t xml:space="preserve">Agreed.  </w:t>
            </w:r>
          </w:p>
        </w:tc>
      </w:tr>
      <w:tr w:rsidR="006E54A0" w14:paraId="2A74F49F" w14:textId="77777777" w:rsidTr="009F4E7F">
        <w:tc>
          <w:tcPr>
            <w:tcW w:w="891" w:type="dxa"/>
          </w:tcPr>
          <w:p w14:paraId="36367211" w14:textId="7D6F5B56" w:rsidR="006E54A0" w:rsidRDefault="006E54A0" w:rsidP="009F4E7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13FE1865">
              <w:rPr>
                <w:b/>
                <w:bCs/>
              </w:rPr>
              <w:t>.</w:t>
            </w:r>
          </w:p>
        </w:tc>
        <w:tc>
          <w:tcPr>
            <w:tcW w:w="2932" w:type="dxa"/>
          </w:tcPr>
          <w:p w14:paraId="61C2D93B" w14:textId="207929E7" w:rsidR="006E54A0" w:rsidRDefault="006E54A0" w:rsidP="009F4E7F">
            <w:r w:rsidRPr="006E54A0">
              <w:t xml:space="preserve">Report back on the OECD meeting on the Working Party on Responsible Business Conduct and National Contact Point Network Meeting, 27-31 </w:t>
            </w:r>
            <w:r>
              <w:t>October</w:t>
            </w:r>
          </w:p>
        </w:tc>
        <w:tc>
          <w:tcPr>
            <w:tcW w:w="6633" w:type="dxa"/>
          </w:tcPr>
          <w:p w14:paraId="38DF316A" w14:textId="38A45685" w:rsidR="00E93646" w:rsidRDefault="003B3025" w:rsidP="00030AFF">
            <w:r>
              <w:t xml:space="preserve">The NCP reported on </w:t>
            </w:r>
            <w:r w:rsidR="00EA64AC">
              <w:t xml:space="preserve">recent meetings of the Working Party for Responsible Business Conduct (WPRBC) and the NCP </w:t>
            </w:r>
            <w:r w:rsidR="008E538D">
              <w:t xml:space="preserve">global network </w:t>
            </w:r>
            <w:r w:rsidR="00EA64AC">
              <w:t xml:space="preserve">meeting held in </w:t>
            </w:r>
            <w:r w:rsidR="006153FB">
              <w:t>October</w:t>
            </w:r>
            <w:r w:rsidR="00EA64AC">
              <w:t xml:space="preserve">. </w:t>
            </w:r>
            <w:r w:rsidR="006153FB">
              <w:t xml:space="preserve">Key </w:t>
            </w:r>
            <w:r w:rsidR="009F467F">
              <w:t xml:space="preserve">discussion </w:t>
            </w:r>
            <w:r w:rsidR="006153FB">
              <w:t>included</w:t>
            </w:r>
            <w:r w:rsidR="00030AFF">
              <w:t>:</w:t>
            </w:r>
            <w:r w:rsidR="006153FB">
              <w:t xml:space="preserve"> an </w:t>
            </w:r>
            <w:r w:rsidR="008E538D">
              <w:t xml:space="preserve">OECD </w:t>
            </w:r>
            <w:r w:rsidR="00EA64AC">
              <w:t xml:space="preserve">update </w:t>
            </w:r>
            <w:r w:rsidR="008E538D">
              <w:t xml:space="preserve">on capacity building initiatives </w:t>
            </w:r>
            <w:r w:rsidR="006153FB">
              <w:t xml:space="preserve">for business </w:t>
            </w:r>
            <w:r w:rsidR="00EA64AC">
              <w:t>due diligence standards</w:t>
            </w:r>
            <w:r w:rsidR="007941C1">
              <w:t xml:space="preserve"> </w:t>
            </w:r>
            <w:r w:rsidR="004F100E">
              <w:t xml:space="preserve">and </w:t>
            </w:r>
            <w:r w:rsidR="007941C1">
              <w:t xml:space="preserve">peer </w:t>
            </w:r>
            <w:r w:rsidR="006153FB">
              <w:t xml:space="preserve">reviews of </w:t>
            </w:r>
            <w:r w:rsidR="007941C1">
              <w:t>Iceland and Romania</w:t>
            </w:r>
            <w:r w:rsidR="006153FB">
              <w:t>’s NCPs</w:t>
            </w:r>
            <w:r w:rsidR="004F100E">
              <w:t xml:space="preserve">. </w:t>
            </w:r>
            <w:r w:rsidR="00030AFF">
              <w:t>No</w:t>
            </w:r>
            <w:r w:rsidR="004F100E">
              <w:t xml:space="preserve"> further progress </w:t>
            </w:r>
            <w:r w:rsidR="00030AFF">
              <w:t xml:space="preserve">has been made </w:t>
            </w:r>
            <w:r w:rsidR="004F100E">
              <w:t xml:space="preserve">on </w:t>
            </w:r>
            <w:r w:rsidR="008E538D">
              <w:t>appointing</w:t>
            </w:r>
            <w:r w:rsidR="004F100E">
              <w:t xml:space="preserve"> a new </w:t>
            </w:r>
            <w:r w:rsidR="008E538D">
              <w:t xml:space="preserve">WPRBC </w:t>
            </w:r>
            <w:r w:rsidR="004F100E">
              <w:t>chair</w:t>
            </w:r>
            <w:r w:rsidR="008E538D">
              <w:t>.</w:t>
            </w:r>
            <w:r w:rsidR="001B77C7">
              <w:t xml:space="preserve"> </w:t>
            </w:r>
          </w:p>
          <w:p w14:paraId="33F1631F" w14:textId="77777777" w:rsidR="00E93646" w:rsidRDefault="00E93646" w:rsidP="00E93646"/>
          <w:p w14:paraId="1CA55480" w14:textId="438CECE0" w:rsidR="00E93646" w:rsidRPr="00E93646" w:rsidRDefault="00E93646" w:rsidP="00E93646">
            <w:r w:rsidRPr="00E93646">
              <w:t xml:space="preserve">2026 marks the 50th anniversary of the OECD Guidelines, which will be celebrated during Responsible Business Conduct Week </w:t>
            </w:r>
            <w:r w:rsidR="00030AFF">
              <w:t>(</w:t>
            </w:r>
            <w:r w:rsidRPr="00E93646">
              <w:t xml:space="preserve">29 June </w:t>
            </w:r>
            <w:proofErr w:type="gramStart"/>
            <w:r w:rsidR="00030AFF">
              <w:t xml:space="preserve">- </w:t>
            </w:r>
            <w:r w:rsidRPr="00E93646">
              <w:t xml:space="preserve"> 2</w:t>
            </w:r>
            <w:proofErr w:type="gramEnd"/>
            <w:r w:rsidRPr="00E93646">
              <w:t xml:space="preserve"> July</w:t>
            </w:r>
            <w:r w:rsidR="00030AFF">
              <w:t>)</w:t>
            </w:r>
            <w:r w:rsidRPr="00E93646">
              <w:t>. This will include the third meeting of the Inclusive Platform on Due Diligence Cooperation.</w:t>
            </w:r>
          </w:p>
          <w:p w14:paraId="6131DFAA" w14:textId="77777777" w:rsidR="00E93646" w:rsidRDefault="00E93646" w:rsidP="00F12F0B"/>
          <w:p w14:paraId="2E2DB491" w14:textId="4E745D73" w:rsidR="006E54A0" w:rsidRPr="00BF737E" w:rsidRDefault="004F100E" w:rsidP="00F12F0B">
            <w:r>
              <w:t>At the</w:t>
            </w:r>
            <w:r w:rsidR="0026182D">
              <w:t xml:space="preserve"> NCP </w:t>
            </w:r>
            <w:r w:rsidR="00E93646">
              <w:t>g</w:t>
            </w:r>
            <w:r w:rsidR="0026182D">
              <w:t xml:space="preserve">lobal </w:t>
            </w:r>
            <w:r w:rsidR="00E93646">
              <w:t>n</w:t>
            </w:r>
            <w:r w:rsidR="0026182D">
              <w:t xml:space="preserve">etwork </w:t>
            </w:r>
            <w:r w:rsidR="00E93646">
              <w:t>m</w:t>
            </w:r>
            <w:r w:rsidR="008674A9">
              <w:t>e</w:t>
            </w:r>
            <w:r w:rsidR="0026182D">
              <w:t>eting</w:t>
            </w:r>
            <w:r>
              <w:t xml:space="preserve"> </w:t>
            </w:r>
            <w:r w:rsidR="00E93646">
              <w:t xml:space="preserve">participants considered </w:t>
            </w:r>
            <w:r>
              <w:t>a</w:t>
            </w:r>
            <w:r w:rsidR="0026182D">
              <w:t xml:space="preserve"> draft model of Terms of Reference for </w:t>
            </w:r>
            <w:r w:rsidR="00E93646">
              <w:t xml:space="preserve">NCP-led </w:t>
            </w:r>
            <w:r w:rsidR="0026182D">
              <w:t>mediation and a draft revised guide for coordination on specific instances.</w:t>
            </w:r>
          </w:p>
        </w:tc>
      </w:tr>
      <w:tr w:rsidR="006E54A0" w:rsidRPr="00E40E35" w14:paraId="0812C5EF" w14:textId="77777777" w:rsidTr="009F4E7F">
        <w:tc>
          <w:tcPr>
            <w:tcW w:w="891" w:type="dxa"/>
          </w:tcPr>
          <w:p w14:paraId="63D93859" w14:textId="64DD19AD" w:rsidR="006E54A0" w:rsidRPr="13FE1865" w:rsidRDefault="006E54A0" w:rsidP="009F4E7F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13FE1865">
              <w:rPr>
                <w:b/>
                <w:bCs/>
              </w:rPr>
              <w:t xml:space="preserve">. </w:t>
            </w:r>
          </w:p>
        </w:tc>
        <w:tc>
          <w:tcPr>
            <w:tcW w:w="2932" w:type="dxa"/>
          </w:tcPr>
          <w:p w14:paraId="1F539E34" w14:textId="77777777" w:rsidR="006E54A0" w:rsidRDefault="006E54A0" w:rsidP="009F4E7F">
            <w:r w:rsidRPr="00395D03">
              <w:t xml:space="preserve">Report back on </w:t>
            </w:r>
            <w:r>
              <w:t>the OECD Inclusive Platform on Due Diligence Policy Cooperation</w:t>
            </w:r>
          </w:p>
          <w:p w14:paraId="65E8EBA2" w14:textId="77777777" w:rsidR="006E54A0" w:rsidRDefault="006E54A0" w:rsidP="009F4E7F"/>
          <w:p w14:paraId="33A48F47" w14:textId="77777777" w:rsidR="006E54A0" w:rsidRPr="002523F8" w:rsidRDefault="006E54A0" w:rsidP="009F4E7F"/>
        </w:tc>
        <w:tc>
          <w:tcPr>
            <w:tcW w:w="6553" w:type="dxa"/>
          </w:tcPr>
          <w:p w14:paraId="02217DB8" w14:textId="77777777" w:rsidR="008846DA" w:rsidRDefault="001A42BF" w:rsidP="001A42BF">
            <w:pPr>
              <w:spacing w:line="278" w:lineRule="auto"/>
            </w:pPr>
            <w:r>
              <w:t xml:space="preserve">The </w:t>
            </w:r>
            <w:r w:rsidR="008846DA">
              <w:t>NCP</w:t>
            </w:r>
            <w:r>
              <w:t xml:space="preserve"> </w:t>
            </w:r>
            <w:r w:rsidR="008846DA">
              <w:t xml:space="preserve">provided an </w:t>
            </w:r>
            <w:r>
              <w:t xml:space="preserve">update on the </w:t>
            </w:r>
            <w:r w:rsidRPr="001A42BF">
              <w:t>OECD</w:t>
            </w:r>
            <w:r>
              <w:t>’s</w:t>
            </w:r>
            <w:r w:rsidRPr="001A42BF">
              <w:t xml:space="preserve"> second policy dialogue on RBC due diligence policy design and implementation</w:t>
            </w:r>
            <w:r w:rsidR="008846DA">
              <w:t>,</w:t>
            </w:r>
            <w:r w:rsidRPr="001A42BF">
              <w:t xml:space="preserve"> </w:t>
            </w:r>
            <w:r>
              <w:t xml:space="preserve">held in </w:t>
            </w:r>
            <w:r w:rsidRPr="001A42BF">
              <w:t xml:space="preserve">October. NZ was represented by </w:t>
            </w:r>
            <w:r>
              <w:t>staff from the NZ</w:t>
            </w:r>
            <w:r w:rsidRPr="001A42BF">
              <w:t xml:space="preserve"> Embassy</w:t>
            </w:r>
            <w:r>
              <w:t xml:space="preserve"> in Paris</w:t>
            </w:r>
            <w:r w:rsidRPr="001A42BF">
              <w:t xml:space="preserve">. </w:t>
            </w:r>
            <w:r>
              <w:t>Discussions focused on</w:t>
            </w:r>
            <w:r w:rsidRPr="001A42BF">
              <w:t xml:space="preserve">: </w:t>
            </w:r>
          </w:p>
          <w:p w14:paraId="35354230" w14:textId="752F1CE9" w:rsidR="008846DA" w:rsidRDefault="001A42BF" w:rsidP="008846DA">
            <w:pPr>
              <w:pStyle w:val="ListParagraph"/>
              <w:numPr>
                <w:ilvl w:val="0"/>
                <w:numId w:val="5"/>
              </w:numPr>
              <w:spacing w:line="278" w:lineRule="auto"/>
            </w:pPr>
            <w:r w:rsidRPr="001A42BF">
              <w:t>Mapping global regulations</w:t>
            </w:r>
          </w:p>
          <w:p w14:paraId="00074DEA" w14:textId="6F4513AB" w:rsidR="001A42BF" w:rsidRPr="001A42BF" w:rsidRDefault="008846DA" w:rsidP="008846DA">
            <w:pPr>
              <w:pStyle w:val="ListParagraph"/>
              <w:numPr>
                <w:ilvl w:val="0"/>
                <w:numId w:val="5"/>
              </w:numPr>
              <w:spacing w:line="278" w:lineRule="auto"/>
            </w:pPr>
            <w:r>
              <w:t>C</w:t>
            </w:r>
            <w:r w:rsidR="001A42BF" w:rsidRPr="001A42BF">
              <w:t>onvergence vs divergence in disclosure, conduct, and market-based measures</w:t>
            </w:r>
          </w:p>
          <w:p w14:paraId="0576A673" w14:textId="77777777" w:rsidR="00030AFF" w:rsidRDefault="001A42BF" w:rsidP="00DB3300">
            <w:pPr>
              <w:spacing w:line="278" w:lineRule="auto"/>
            </w:pPr>
            <w:r>
              <w:t>Key challenges identified</w:t>
            </w:r>
            <w:r w:rsidR="00030AFF">
              <w:t>:</w:t>
            </w:r>
          </w:p>
          <w:p w14:paraId="6E09C03C" w14:textId="366490D3" w:rsidR="00030AFF" w:rsidRDefault="00030AFF" w:rsidP="00030AFF">
            <w:pPr>
              <w:pStyle w:val="ListParagraph"/>
              <w:numPr>
                <w:ilvl w:val="0"/>
                <w:numId w:val="8"/>
              </w:numPr>
              <w:spacing w:line="278" w:lineRule="auto"/>
            </w:pPr>
            <w:r>
              <w:t>I</w:t>
            </w:r>
            <w:r w:rsidR="0016578E">
              <w:t>ncreasing</w:t>
            </w:r>
            <w:r w:rsidR="00582161">
              <w:t>ly</w:t>
            </w:r>
            <w:r w:rsidR="00A57E9A">
              <w:t xml:space="preserve"> </w:t>
            </w:r>
            <w:r w:rsidR="001A42BF">
              <w:t xml:space="preserve">complexity </w:t>
            </w:r>
            <w:r w:rsidR="008846DA">
              <w:t xml:space="preserve">from </w:t>
            </w:r>
            <w:r w:rsidR="001A42BF">
              <w:t>divergent laws</w:t>
            </w:r>
            <w:r w:rsidR="008846DA">
              <w:t>, which</w:t>
            </w:r>
            <w:r w:rsidR="001A42BF">
              <w:t xml:space="preserve"> creat</w:t>
            </w:r>
            <w:r w:rsidR="008846DA">
              <w:t>e</w:t>
            </w:r>
            <w:r w:rsidR="001A42BF">
              <w:t xml:space="preserve"> duplicative processes and conflicting expectations</w:t>
            </w:r>
          </w:p>
          <w:p w14:paraId="5037D17B" w14:textId="7864CF8B" w:rsidR="00ED34B1" w:rsidRDefault="00030AFF" w:rsidP="00030AFF">
            <w:pPr>
              <w:pStyle w:val="ListParagraph"/>
              <w:numPr>
                <w:ilvl w:val="0"/>
                <w:numId w:val="8"/>
              </w:numPr>
              <w:spacing w:line="278" w:lineRule="auto"/>
            </w:pPr>
            <w:r>
              <w:t>H</w:t>
            </w:r>
            <w:r w:rsidR="008846DA">
              <w:t>igher</w:t>
            </w:r>
            <w:r w:rsidR="001A42BF">
              <w:t xml:space="preserve"> costs and capacity pressures to meet reporting requirements</w:t>
            </w:r>
            <w:r w:rsidR="00ED34B1">
              <w:t>,</w:t>
            </w:r>
            <w:r w:rsidR="001A42BF">
              <w:t xml:space="preserve"> particularly for SMEs and upstream suppliers. </w:t>
            </w:r>
          </w:p>
          <w:p w14:paraId="164B4618" w14:textId="77777777" w:rsidR="00030AFF" w:rsidRDefault="001A42BF" w:rsidP="00DB3300">
            <w:pPr>
              <w:spacing w:line="278" w:lineRule="auto"/>
            </w:pPr>
            <w:r>
              <w:t xml:space="preserve">Opportunities </w:t>
            </w:r>
            <w:r w:rsidR="00ED34B1">
              <w:t>noted</w:t>
            </w:r>
            <w:r w:rsidR="00030AFF">
              <w:t>:</w:t>
            </w:r>
          </w:p>
          <w:p w14:paraId="1EFA2BA7" w14:textId="77777777" w:rsidR="00030AFF" w:rsidRDefault="00030AFF" w:rsidP="00030AFF">
            <w:pPr>
              <w:pStyle w:val="ListParagraph"/>
              <w:numPr>
                <w:ilvl w:val="0"/>
                <w:numId w:val="9"/>
              </w:numPr>
              <w:spacing w:line="278" w:lineRule="auto"/>
            </w:pPr>
            <w:r>
              <w:lastRenderedPageBreak/>
              <w:t>H</w:t>
            </w:r>
            <w:r w:rsidR="001A42BF">
              <w:t>armonis</w:t>
            </w:r>
            <w:r w:rsidR="00ED34B1">
              <w:t>ing</w:t>
            </w:r>
            <w:r w:rsidR="001A42BF">
              <w:t xml:space="preserve"> or align</w:t>
            </w:r>
            <w:r w:rsidR="00ED34B1">
              <w:t>ing</w:t>
            </w:r>
            <w:r w:rsidR="001A42BF">
              <w:t xml:space="preserve"> regulation</w:t>
            </w:r>
          </w:p>
          <w:p w14:paraId="1D21CE47" w14:textId="77777777" w:rsidR="00030AFF" w:rsidRDefault="00030AFF" w:rsidP="00030AFF">
            <w:pPr>
              <w:pStyle w:val="ListParagraph"/>
              <w:numPr>
                <w:ilvl w:val="0"/>
                <w:numId w:val="9"/>
              </w:numPr>
              <w:spacing w:line="278" w:lineRule="auto"/>
            </w:pPr>
            <w:r>
              <w:t>L</w:t>
            </w:r>
            <w:r w:rsidR="00ED34B1">
              <w:t xml:space="preserve">everaging </w:t>
            </w:r>
            <w:r w:rsidR="001A42BF">
              <w:t>technology</w:t>
            </w:r>
          </w:p>
          <w:p w14:paraId="2FCB581A" w14:textId="77777777" w:rsidR="00030AFF" w:rsidRDefault="00030AFF" w:rsidP="00030AFF">
            <w:pPr>
              <w:pStyle w:val="ListParagraph"/>
              <w:numPr>
                <w:ilvl w:val="0"/>
                <w:numId w:val="9"/>
              </w:numPr>
              <w:spacing w:line="278" w:lineRule="auto"/>
            </w:pPr>
            <w:r>
              <w:t>F</w:t>
            </w:r>
            <w:r w:rsidR="00ED34B1">
              <w:t xml:space="preserve">ostering </w:t>
            </w:r>
            <w:r w:rsidR="001A42BF">
              <w:t xml:space="preserve">collaboration </w:t>
            </w:r>
            <w:r w:rsidR="00ED34B1">
              <w:t>to</w:t>
            </w:r>
            <w:r w:rsidR="001A42BF">
              <w:t xml:space="preserve"> reduce burden</w:t>
            </w:r>
            <w:r w:rsidR="00ED34B1">
              <w:t>s</w:t>
            </w:r>
            <w:r w:rsidR="001A42BF">
              <w:t xml:space="preserve"> and improve compliance</w:t>
            </w:r>
            <w:r w:rsidR="007C4CE1">
              <w:t xml:space="preserve">. </w:t>
            </w:r>
          </w:p>
          <w:p w14:paraId="4B742C50" w14:textId="5655AC99" w:rsidR="007C4CE1" w:rsidRDefault="00757D10" w:rsidP="00030AFF">
            <w:pPr>
              <w:spacing w:line="278" w:lineRule="auto"/>
            </w:pPr>
            <w:r>
              <w:t xml:space="preserve">Insights from the dialogue </w:t>
            </w:r>
            <w:r w:rsidR="00ED34B1">
              <w:t>highlighted</w:t>
            </w:r>
            <w:r>
              <w:t xml:space="preserve"> calls </w:t>
            </w:r>
            <w:r w:rsidR="007C4CE1">
              <w:t xml:space="preserve">for policy </w:t>
            </w:r>
            <w:r w:rsidR="008846DA">
              <w:t>coherence</w:t>
            </w:r>
            <w:r w:rsidR="00ED34B1">
              <w:t>,</w:t>
            </w:r>
            <w:r w:rsidR="007C4CE1">
              <w:t xml:space="preserve"> with </w:t>
            </w:r>
            <w:r w:rsidR="008674A9">
              <w:t>b</w:t>
            </w:r>
            <w:r>
              <w:t xml:space="preserve">usiness </w:t>
            </w:r>
            <w:r w:rsidR="00ED34B1">
              <w:t>seeking</w:t>
            </w:r>
            <w:r w:rsidR="007C4CE1">
              <w:t xml:space="preserve"> </w:t>
            </w:r>
            <w:r>
              <w:t>clarity</w:t>
            </w:r>
            <w:r w:rsidR="007C4CE1">
              <w:t xml:space="preserve">. </w:t>
            </w:r>
            <w:r w:rsidR="00ED34B1">
              <w:t>C</w:t>
            </w:r>
            <w:r w:rsidR="007C4CE1">
              <w:t xml:space="preserve">urrent complexity could be </w:t>
            </w:r>
            <w:r w:rsidR="00ED34B1">
              <w:t>addressed</w:t>
            </w:r>
            <w:r w:rsidR="007C4CE1">
              <w:t xml:space="preserve"> with streamlined tools and reporting templates</w:t>
            </w:r>
            <w:r w:rsidR="00ED34B1">
              <w:t>, supported by</w:t>
            </w:r>
            <w:r w:rsidR="007C4CE1">
              <w:t xml:space="preserve"> practical standards. </w:t>
            </w:r>
            <w:r w:rsidR="00ED34B1">
              <w:t>Participants e</w:t>
            </w:r>
            <w:r w:rsidR="007C4CE1">
              <w:t xml:space="preserve">xpressed </w:t>
            </w:r>
            <w:r w:rsidR="00ED34B1">
              <w:t xml:space="preserve">a </w:t>
            </w:r>
            <w:r w:rsidR="007C4CE1">
              <w:t>desire to avoid data overload and focus on safe, sharable and comparable data that drives impact.</w:t>
            </w:r>
          </w:p>
          <w:p w14:paraId="1E38C939" w14:textId="77777777" w:rsidR="00793A50" w:rsidRDefault="00793A50" w:rsidP="00DB3300">
            <w:pPr>
              <w:spacing w:line="278" w:lineRule="auto"/>
            </w:pPr>
          </w:p>
          <w:p w14:paraId="3C07B98D" w14:textId="2944BE17" w:rsidR="00793A50" w:rsidRDefault="00793A50" w:rsidP="00DB3300">
            <w:pPr>
              <w:spacing w:line="278" w:lineRule="auto"/>
            </w:pPr>
            <w:r>
              <w:t>The NCP also shared on its recent exchanges with other NCPs including the UK, Australia, Japan, and Korea.</w:t>
            </w:r>
          </w:p>
          <w:p w14:paraId="7A9D2EB9" w14:textId="77777777" w:rsidR="007C4CE1" w:rsidRDefault="007C4CE1" w:rsidP="00DB3300">
            <w:pPr>
              <w:spacing w:line="278" w:lineRule="auto"/>
            </w:pPr>
          </w:p>
          <w:p w14:paraId="74BE9076" w14:textId="77777777" w:rsidR="000B4572" w:rsidRDefault="007C4CE1" w:rsidP="009825D4">
            <w:pPr>
              <w:spacing w:line="278" w:lineRule="auto"/>
            </w:pPr>
            <w:r>
              <w:t>Members of the Liaison Group discussed</w:t>
            </w:r>
            <w:r w:rsidR="000B4572">
              <w:t>:</w:t>
            </w:r>
          </w:p>
          <w:p w14:paraId="747F2131" w14:textId="77777777" w:rsidR="000B4572" w:rsidRDefault="000B4572" w:rsidP="000B4572">
            <w:pPr>
              <w:pStyle w:val="ListParagraph"/>
              <w:numPr>
                <w:ilvl w:val="0"/>
                <w:numId w:val="10"/>
              </w:numPr>
              <w:spacing w:line="278" w:lineRule="auto"/>
            </w:pPr>
            <w:r>
              <w:t>I</w:t>
            </w:r>
            <w:r w:rsidR="00ED34B1">
              <w:t>mplications of global regulatory trends</w:t>
            </w:r>
            <w:r w:rsidR="009825D4">
              <w:t xml:space="preserve"> for NZ</w:t>
            </w:r>
          </w:p>
          <w:p w14:paraId="5A33C4B9" w14:textId="77777777" w:rsidR="000B4572" w:rsidRDefault="000B4572" w:rsidP="000B4572">
            <w:pPr>
              <w:pStyle w:val="ListParagraph"/>
              <w:numPr>
                <w:ilvl w:val="0"/>
                <w:numId w:val="10"/>
              </w:numPr>
              <w:spacing w:line="278" w:lineRule="auto"/>
            </w:pPr>
            <w:r>
              <w:t>T</w:t>
            </w:r>
            <w:r w:rsidR="00B0770E">
              <w:t>he status of NZ’s regulation on modern slavery</w:t>
            </w:r>
            <w:r>
              <w:t>,</w:t>
            </w:r>
            <w:r w:rsidR="009825D4">
              <w:t xml:space="preserve"> </w:t>
            </w:r>
            <w:r w:rsidR="00B0770E">
              <w:t xml:space="preserve">including the two private members’ bill </w:t>
            </w:r>
            <w:r w:rsidR="009825D4">
              <w:t>currently before Parliament</w:t>
            </w:r>
          </w:p>
          <w:p w14:paraId="49EB6A1F" w14:textId="77777777" w:rsidR="000B4572" w:rsidRDefault="000B4572" w:rsidP="000B4572">
            <w:pPr>
              <w:pStyle w:val="ListParagraph"/>
              <w:numPr>
                <w:ilvl w:val="0"/>
                <w:numId w:val="10"/>
              </w:numPr>
              <w:spacing w:line="278" w:lineRule="auto"/>
            </w:pPr>
            <w:r>
              <w:t>T</w:t>
            </w:r>
            <w:r w:rsidR="00B0770E">
              <w:t xml:space="preserve">he </w:t>
            </w:r>
            <w:r w:rsidR="009825D4">
              <w:t>benefits of</w:t>
            </w:r>
            <w:r w:rsidR="00B0770E">
              <w:t xml:space="preserve"> </w:t>
            </w:r>
            <w:r w:rsidR="009825D4">
              <w:t>international regulatory and standards alignment</w:t>
            </w:r>
            <w:r w:rsidR="00B0770E">
              <w:t xml:space="preserve"> to reduce reporting burden</w:t>
            </w:r>
          </w:p>
          <w:p w14:paraId="1E17EF64" w14:textId="4AB62D0F" w:rsidR="009825D4" w:rsidRPr="009825D4" w:rsidRDefault="009825D4" w:rsidP="000B4572">
            <w:pPr>
              <w:spacing w:line="278" w:lineRule="auto"/>
            </w:pPr>
            <w:r>
              <w:t xml:space="preserve">The NCP noted it </w:t>
            </w:r>
            <w:r w:rsidR="00793A50">
              <w:t xml:space="preserve">is looking to </w:t>
            </w:r>
            <w:r>
              <w:t>explor</w:t>
            </w:r>
            <w:r w:rsidR="00793A50">
              <w:t>e</w:t>
            </w:r>
            <w:r>
              <w:t xml:space="preserve"> </w:t>
            </w:r>
            <w:r w:rsidRPr="009825D4">
              <w:t xml:space="preserve">levers and tools that </w:t>
            </w:r>
            <w:r>
              <w:t xml:space="preserve">could </w:t>
            </w:r>
            <w:r w:rsidRPr="009825D4">
              <w:t>help businesses navigate complexity</w:t>
            </w:r>
            <w:r>
              <w:t>, particularly</w:t>
            </w:r>
            <w:r w:rsidR="00793A50">
              <w:t xml:space="preserve"> in relation to</w:t>
            </w:r>
            <w:r>
              <w:t xml:space="preserve"> the</w:t>
            </w:r>
          </w:p>
          <w:p w14:paraId="1747880D" w14:textId="32D3688F" w:rsidR="009825D4" w:rsidRPr="009825D4" w:rsidRDefault="009825D4" w:rsidP="009825D4">
            <w:pPr>
              <w:spacing w:line="278" w:lineRule="auto"/>
            </w:pPr>
            <w:r w:rsidRPr="009825D4">
              <w:t>UK and EU</w:t>
            </w:r>
            <w:r>
              <w:t xml:space="preserve"> given </w:t>
            </w:r>
            <w:r w:rsidR="00793A50">
              <w:t>NZ’s</w:t>
            </w:r>
            <w:r>
              <w:t xml:space="preserve"> recent</w:t>
            </w:r>
            <w:r w:rsidRPr="009825D4">
              <w:t xml:space="preserve"> FTAs.</w:t>
            </w:r>
          </w:p>
          <w:p w14:paraId="427470A8" w14:textId="12F20251" w:rsidR="006E54A0" w:rsidRPr="00DB3300" w:rsidRDefault="006E54A0" w:rsidP="00DB3300">
            <w:pPr>
              <w:spacing w:line="278" w:lineRule="auto"/>
            </w:pPr>
          </w:p>
        </w:tc>
      </w:tr>
      <w:tr w:rsidR="006E54A0" w:rsidRPr="00FE0DA6" w14:paraId="5CF9A168" w14:textId="77777777" w:rsidTr="009F4E7F">
        <w:tc>
          <w:tcPr>
            <w:tcW w:w="891" w:type="dxa"/>
          </w:tcPr>
          <w:p w14:paraId="534020B0" w14:textId="50D0BC87" w:rsidR="006E54A0" w:rsidRDefault="006E54A0" w:rsidP="009F4E7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</w:t>
            </w:r>
          </w:p>
        </w:tc>
        <w:tc>
          <w:tcPr>
            <w:tcW w:w="2932" w:type="dxa"/>
          </w:tcPr>
          <w:p w14:paraId="5E32E8FC" w14:textId="4AE06AE1" w:rsidR="006E54A0" w:rsidRDefault="008A215A" w:rsidP="009F4E7F">
            <w:r>
              <w:t>Promoting the Guidelines</w:t>
            </w:r>
          </w:p>
        </w:tc>
        <w:tc>
          <w:tcPr>
            <w:tcW w:w="6553" w:type="dxa"/>
          </w:tcPr>
          <w:p w14:paraId="1111F12C" w14:textId="5BDEB01C" w:rsidR="008A215A" w:rsidRDefault="00972C18" w:rsidP="00972C18">
            <w:r>
              <w:t xml:space="preserve">The </w:t>
            </w:r>
            <w:r w:rsidR="008A215A">
              <w:t xml:space="preserve">NCP </w:t>
            </w:r>
            <w:r>
              <w:t xml:space="preserve">reported </w:t>
            </w:r>
            <w:r w:rsidR="009279EE">
              <w:t>on</w:t>
            </w:r>
            <w:r>
              <w:t xml:space="preserve"> </w:t>
            </w:r>
            <w:r w:rsidR="000B4572">
              <w:t>the</w:t>
            </w:r>
            <w:r>
              <w:t xml:space="preserve"> </w:t>
            </w:r>
            <w:r w:rsidR="00793A50">
              <w:t>webinar</w:t>
            </w:r>
            <w:r w:rsidR="000B4572">
              <w:t xml:space="preserve"> it</w:t>
            </w:r>
            <w:r w:rsidR="008A215A">
              <w:t xml:space="preserve"> h</w:t>
            </w:r>
            <w:r w:rsidR="000B4572">
              <w:t>osted</w:t>
            </w:r>
            <w:r w:rsidR="008A215A">
              <w:t xml:space="preserve"> with the</w:t>
            </w:r>
            <w:r w:rsidR="00793A50">
              <w:t xml:space="preserve"> OECD on </w:t>
            </w:r>
            <w:r w:rsidR="00793A50" w:rsidRPr="000B4572">
              <w:rPr>
                <w:i/>
                <w:iCs/>
              </w:rPr>
              <w:t>Putting Responsible Business Conduct in Practice</w:t>
            </w:r>
            <w:r w:rsidR="000B4572">
              <w:rPr>
                <w:i/>
                <w:iCs/>
              </w:rPr>
              <w:t xml:space="preserve"> (</w:t>
            </w:r>
            <w:r w:rsidR="00793A50">
              <w:t>30 September</w:t>
            </w:r>
            <w:r w:rsidR="000B4572">
              <w:t>), which attracted</w:t>
            </w:r>
            <w:r w:rsidR="00793A50">
              <w:t xml:space="preserve"> 97 participants from the primary sector, professional services, government and retail. Speakers/panellists </w:t>
            </w:r>
            <w:r w:rsidR="000B4572">
              <w:t>included representatives</w:t>
            </w:r>
            <w:r w:rsidR="00793A50">
              <w:t xml:space="preserve"> from the OECD, Foodstuffs NZ, NZ </w:t>
            </w:r>
            <w:r w:rsidR="008A215A">
              <w:t>Ethical</w:t>
            </w:r>
            <w:r w:rsidR="00793A50">
              <w:t xml:space="preserve"> Employers</w:t>
            </w:r>
            <w:r w:rsidR="000B4572">
              <w:t>,</w:t>
            </w:r>
            <w:r w:rsidR="00793A50">
              <w:t xml:space="preserve"> and </w:t>
            </w:r>
            <w:r w:rsidR="008A215A">
              <w:t xml:space="preserve">MBIE’s Employment Services. </w:t>
            </w:r>
            <w:r>
              <w:t xml:space="preserve">Webinar </w:t>
            </w:r>
            <w:r w:rsidR="00F8455A">
              <w:t xml:space="preserve">promoting </w:t>
            </w:r>
            <w:r w:rsidR="009B5E36">
              <w:t>RBC</w:t>
            </w:r>
            <w:r w:rsidR="009279EE">
              <w:t xml:space="preserve"> that was</w:t>
            </w:r>
            <w:r w:rsidR="00F8455A">
              <w:t xml:space="preserve"> held in September.</w:t>
            </w:r>
            <w:r w:rsidR="009279EE">
              <w:t xml:space="preserve"> </w:t>
            </w:r>
          </w:p>
          <w:p w14:paraId="0324B588" w14:textId="77777777" w:rsidR="000D7B58" w:rsidRDefault="000D7B58" w:rsidP="00972C18"/>
          <w:p w14:paraId="7D449DC3" w14:textId="0A189690" w:rsidR="000D7B58" w:rsidRDefault="000D7B58" w:rsidP="00972C18">
            <w:r w:rsidRPr="000D7B58">
              <w:rPr>
                <w:b/>
                <w:bCs/>
              </w:rPr>
              <w:t>Action:</w:t>
            </w:r>
            <w:r>
              <w:t xml:space="preserve"> Email additional stats on the webinar to Liaison Group</w:t>
            </w:r>
          </w:p>
          <w:p w14:paraId="46E38EE5" w14:textId="77777777" w:rsidR="008A215A" w:rsidRDefault="008A215A" w:rsidP="00972C18"/>
          <w:p w14:paraId="0B0BC10C" w14:textId="7B963612" w:rsidR="006E54A0" w:rsidRPr="00562F89" w:rsidRDefault="000A5ED2" w:rsidP="00972C18">
            <w:r>
              <w:t>In July, t</w:t>
            </w:r>
            <w:r w:rsidR="008A215A">
              <w:t>he NCP</w:t>
            </w:r>
            <w:r>
              <w:t xml:space="preserve"> </w:t>
            </w:r>
            <w:r w:rsidR="008A215A">
              <w:t xml:space="preserve">presented </w:t>
            </w:r>
            <w:r>
              <w:t xml:space="preserve">at </w:t>
            </w:r>
            <w:r w:rsidR="00EA2FED">
              <w:t>the Collaborative Advantage Masterclass on Modern Slavery host</w:t>
            </w:r>
            <w:r w:rsidR="00EA2FED" w:rsidRPr="00EA2FED">
              <w:t>ed by Deloitte, Walk Free, and the Sustainable Business Council</w:t>
            </w:r>
            <w:r w:rsidR="00EA2FED">
              <w:t>.</w:t>
            </w:r>
          </w:p>
        </w:tc>
      </w:tr>
      <w:tr w:rsidR="006E54A0" w14:paraId="4E5D1259" w14:textId="77777777" w:rsidTr="009F4E7F">
        <w:tc>
          <w:tcPr>
            <w:tcW w:w="891" w:type="dxa"/>
          </w:tcPr>
          <w:p w14:paraId="6FB1E786" w14:textId="31F46E9C" w:rsidR="006E54A0" w:rsidRDefault="006E54A0" w:rsidP="009F4E7F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13FE1865">
              <w:rPr>
                <w:b/>
                <w:bCs/>
              </w:rPr>
              <w:t>.</w:t>
            </w:r>
          </w:p>
        </w:tc>
        <w:tc>
          <w:tcPr>
            <w:tcW w:w="2932" w:type="dxa"/>
          </w:tcPr>
          <w:p w14:paraId="743689FF" w14:textId="5021FAC1" w:rsidR="00F63C65" w:rsidRDefault="00F63C65" w:rsidP="00F63C65">
            <w:pPr>
              <w:spacing w:line="240" w:lineRule="auto"/>
            </w:pPr>
            <w:r>
              <w:t>Specific Instan</w:t>
            </w:r>
            <w:r w:rsidR="008A4740">
              <w:t>ces</w:t>
            </w:r>
            <w:r>
              <w:t>/</w:t>
            </w:r>
            <w:r w:rsidR="003F6074">
              <w:br/>
            </w:r>
            <w:r>
              <w:t>Complaints process</w:t>
            </w:r>
          </w:p>
          <w:p w14:paraId="0B939ADA" w14:textId="77777777" w:rsidR="00F63C65" w:rsidRDefault="00F63C65" w:rsidP="009F4E7F"/>
          <w:p w14:paraId="170BEA3B" w14:textId="287796D3" w:rsidR="006E54A0" w:rsidRDefault="006E54A0" w:rsidP="009F4E7F"/>
        </w:tc>
        <w:tc>
          <w:tcPr>
            <w:tcW w:w="6553" w:type="dxa"/>
          </w:tcPr>
          <w:p w14:paraId="22CDF803" w14:textId="584964F5" w:rsidR="006E54A0" w:rsidRDefault="00EA66DE" w:rsidP="009F4E7F">
            <w:r>
              <w:t>C</w:t>
            </w:r>
            <w:r w:rsidR="00F63C65">
              <w:t xml:space="preserve">orrespondence </w:t>
            </w:r>
            <w:r w:rsidR="00F8455A">
              <w:t xml:space="preserve">was </w:t>
            </w:r>
            <w:r w:rsidR="00F63C65">
              <w:t>discussed</w:t>
            </w:r>
            <w:r w:rsidR="00EA2FED">
              <w:t>, along with the recent NCP Asia Regional Network meeting, which focused on specific instant management.</w:t>
            </w:r>
          </w:p>
          <w:p w14:paraId="52B03E91" w14:textId="77777777" w:rsidR="006E54A0" w:rsidRDefault="006E54A0" w:rsidP="009F4E7F"/>
        </w:tc>
      </w:tr>
      <w:tr w:rsidR="006E54A0" w14:paraId="03826AA7" w14:textId="77777777" w:rsidTr="009F4E7F">
        <w:tc>
          <w:tcPr>
            <w:tcW w:w="891" w:type="dxa"/>
          </w:tcPr>
          <w:p w14:paraId="6395B9B8" w14:textId="182861B6" w:rsidR="006E54A0" w:rsidRDefault="006E54A0" w:rsidP="009F4E7F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932" w:type="dxa"/>
          </w:tcPr>
          <w:p w14:paraId="4CFED9B7" w14:textId="77777777" w:rsidR="00F63C65" w:rsidRDefault="00F63C65" w:rsidP="009F4E7F">
            <w:r w:rsidRPr="00F63C65">
              <w:t>NZ NCP activities for 2026</w:t>
            </w:r>
            <w:r>
              <w:t xml:space="preserve"> </w:t>
            </w:r>
          </w:p>
          <w:p w14:paraId="7606F7F7" w14:textId="77777777" w:rsidR="00F63C65" w:rsidRDefault="00F63C65" w:rsidP="009F4E7F"/>
          <w:p w14:paraId="3E03BA14" w14:textId="77777777" w:rsidR="006E54A0" w:rsidRDefault="006E54A0" w:rsidP="00F63C65"/>
        </w:tc>
        <w:tc>
          <w:tcPr>
            <w:tcW w:w="6553" w:type="dxa"/>
          </w:tcPr>
          <w:p w14:paraId="07A83284" w14:textId="77777777" w:rsidR="004E1460" w:rsidRDefault="001034E7" w:rsidP="009F4E7F">
            <w:r>
              <w:t>The NCP outlined a series of activities planned for next year</w:t>
            </w:r>
            <w:r w:rsidR="004E1460">
              <w:t>, including:</w:t>
            </w:r>
          </w:p>
          <w:p w14:paraId="5A11DDA7" w14:textId="6CDEDA5D" w:rsidR="004E1460" w:rsidRDefault="004E1460" w:rsidP="000B4572">
            <w:pPr>
              <w:pStyle w:val="ListParagraph"/>
              <w:numPr>
                <w:ilvl w:val="0"/>
                <w:numId w:val="11"/>
              </w:numPr>
            </w:pPr>
            <w:r>
              <w:t>E</w:t>
            </w:r>
            <w:r w:rsidR="001034E7">
              <w:t xml:space="preserve">xploring a webinar focusing on a new </w:t>
            </w:r>
            <w:r>
              <w:t xml:space="preserve">OECD </w:t>
            </w:r>
            <w:r w:rsidR="001034E7">
              <w:t>RBC tool tracker for the agriculture sector</w:t>
            </w:r>
          </w:p>
          <w:p w14:paraId="419C1C40" w14:textId="442D4286" w:rsidR="004E1460" w:rsidRDefault="004E1460" w:rsidP="000B4572">
            <w:pPr>
              <w:pStyle w:val="ListParagraph"/>
              <w:numPr>
                <w:ilvl w:val="0"/>
                <w:numId w:val="11"/>
              </w:numPr>
            </w:pPr>
            <w:r>
              <w:t>S</w:t>
            </w:r>
            <w:r w:rsidR="001034E7">
              <w:t>coping new areas of work to identify tools and measures that would enhance RBC</w:t>
            </w:r>
            <w:r>
              <w:t>, and</w:t>
            </w:r>
          </w:p>
          <w:p w14:paraId="2AE738FF" w14:textId="79C722BC" w:rsidR="001034E7" w:rsidRPr="00CC0551" w:rsidRDefault="004E1460" w:rsidP="000B4572">
            <w:pPr>
              <w:pStyle w:val="ListParagraph"/>
              <w:numPr>
                <w:ilvl w:val="0"/>
                <w:numId w:val="11"/>
              </w:numPr>
            </w:pPr>
            <w:r>
              <w:lastRenderedPageBreak/>
              <w:t>I</w:t>
            </w:r>
            <w:r w:rsidR="001034E7">
              <w:t>ncreas</w:t>
            </w:r>
            <w:r>
              <w:t xml:space="preserve">ing </w:t>
            </w:r>
            <w:r w:rsidR="001034E7">
              <w:t>promotional efforts by the NCP</w:t>
            </w:r>
            <w:r>
              <w:t xml:space="preserve"> and</w:t>
            </w:r>
            <w:r w:rsidR="001034E7">
              <w:t xml:space="preserve"> international engagement, </w:t>
            </w:r>
            <w:r>
              <w:t>with a focus on</w:t>
            </w:r>
            <w:r w:rsidR="001034E7">
              <w:t xml:space="preserve"> the 50</w:t>
            </w:r>
            <w:r w:rsidR="001034E7" w:rsidRPr="004E1460">
              <w:rPr>
                <w:vertAlign w:val="superscript"/>
              </w:rPr>
              <w:t>th</w:t>
            </w:r>
            <w:r w:rsidR="001034E7">
              <w:t xml:space="preserve"> anniversary of the OECD </w:t>
            </w:r>
            <w:r>
              <w:t>G</w:t>
            </w:r>
            <w:r w:rsidR="001034E7">
              <w:t>uidelines</w:t>
            </w:r>
            <w:r>
              <w:t xml:space="preserve"> in 2026</w:t>
            </w:r>
            <w:r w:rsidR="001034E7">
              <w:t>.</w:t>
            </w:r>
          </w:p>
        </w:tc>
      </w:tr>
      <w:tr w:rsidR="006E54A0" w14:paraId="1251DA3D" w14:textId="77777777" w:rsidTr="009F4E7F">
        <w:tc>
          <w:tcPr>
            <w:tcW w:w="891" w:type="dxa"/>
          </w:tcPr>
          <w:p w14:paraId="3D423E3E" w14:textId="11F54898" w:rsidR="006E54A0" w:rsidRDefault="006E54A0" w:rsidP="009F4E7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8.</w:t>
            </w:r>
          </w:p>
        </w:tc>
        <w:tc>
          <w:tcPr>
            <w:tcW w:w="2932" w:type="dxa"/>
          </w:tcPr>
          <w:p w14:paraId="77FB1105" w14:textId="77777777" w:rsidR="00F63C65" w:rsidRPr="00F63C65" w:rsidRDefault="00F63C65" w:rsidP="00F63C65">
            <w:bookmarkStart w:id="0" w:name="_Hlk203134435"/>
            <w:r w:rsidRPr="00F63C65">
              <w:t xml:space="preserve">Member update and promotional opportunities </w:t>
            </w:r>
            <w:bookmarkEnd w:id="0"/>
          </w:p>
          <w:p w14:paraId="315AA57E" w14:textId="1AB39F82" w:rsidR="006E54A0" w:rsidRDefault="006E54A0" w:rsidP="009F4E7F"/>
        </w:tc>
        <w:tc>
          <w:tcPr>
            <w:tcW w:w="6553" w:type="dxa"/>
          </w:tcPr>
          <w:p w14:paraId="5DCB95A6" w14:textId="5E704F4D" w:rsidR="001034E7" w:rsidRDefault="001034E7" w:rsidP="00F12F0B">
            <w:r w:rsidRPr="000B4572">
              <w:rPr>
                <w:b/>
                <w:bCs/>
              </w:rPr>
              <w:t>Human Rights Commission</w:t>
            </w:r>
            <w:r>
              <w:t xml:space="preserve"> </w:t>
            </w:r>
            <w:r w:rsidR="004E1460">
              <w:t>attended the</w:t>
            </w:r>
            <w:r w:rsidR="00EC410F">
              <w:t xml:space="preserve"> </w:t>
            </w:r>
            <w:hyperlink r:id="rId8" w:history="1">
              <w:r w:rsidR="00EC410F" w:rsidRPr="00EC410F">
                <w:rPr>
                  <w:rStyle w:val="Hyperlink"/>
                </w:rPr>
                <w:t>U</w:t>
              </w:r>
              <w:r w:rsidR="00EC410F">
                <w:rPr>
                  <w:rStyle w:val="Hyperlink"/>
                </w:rPr>
                <w:t>nited Nations B</w:t>
              </w:r>
              <w:r w:rsidR="00EC410F" w:rsidRPr="00EC410F">
                <w:rPr>
                  <w:rStyle w:val="Hyperlink"/>
                </w:rPr>
                <w:t xml:space="preserve">usiness and Human Rights </w:t>
              </w:r>
              <w:r w:rsidR="00EC410F">
                <w:rPr>
                  <w:rStyle w:val="Hyperlink"/>
                </w:rPr>
                <w:t>R</w:t>
              </w:r>
              <w:r w:rsidR="00EC410F" w:rsidRPr="00EC410F">
                <w:rPr>
                  <w:rStyle w:val="Hyperlink"/>
                </w:rPr>
                <w:t xml:space="preserve">egional </w:t>
              </w:r>
              <w:r w:rsidR="00EC410F">
                <w:rPr>
                  <w:rStyle w:val="Hyperlink"/>
                </w:rPr>
                <w:t>F</w:t>
              </w:r>
              <w:r w:rsidR="00EC410F" w:rsidRPr="00EC410F">
                <w:rPr>
                  <w:rStyle w:val="Hyperlink"/>
                </w:rPr>
                <w:t>orum</w:t>
              </w:r>
            </w:hyperlink>
            <w:r w:rsidR="001D2A59">
              <w:t xml:space="preserve"> </w:t>
            </w:r>
            <w:r w:rsidR="00EC410F">
              <w:t>hosted in Australia. It observed a small contingent of New Zealand</w:t>
            </w:r>
            <w:r w:rsidR="00F21EE0">
              <w:t>-</w:t>
            </w:r>
            <w:r w:rsidR="00EC410F">
              <w:t>based entities</w:t>
            </w:r>
            <w:r w:rsidR="00661EC5">
              <w:t>, including business, NGOs and</w:t>
            </w:r>
            <w:r w:rsidR="00EC410F">
              <w:t xml:space="preserve"> government.</w:t>
            </w:r>
            <w:r w:rsidR="00212467">
              <w:t xml:space="preserve"> A key insight was how the Australian NCP operates</w:t>
            </w:r>
            <w:r w:rsidR="00661EC5">
              <w:t xml:space="preserve">, including its approach to handling specific </w:t>
            </w:r>
            <w:r w:rsidR="00212467">
              <w:t xml:space="preserve">instances, the nature of complaints, and </w:t>
            </w:r>
            <w:r w:rsidR="00661EC5">
              <w:t>its expanding</w:t>
            </w:r>
            <w:r w:rsidR="00212467">
              <w:t xml:space="preserve"> role. It was suggested that there </w:t>
            </w:r>
            <w:r w:rsidR="00661EC5">
              <w:t>may</w:t>
            </w:r>
            <w:r w:rsidR="00212467">
              <w:t xml:space="preserve"> be lessons for the </w:t>
            </w:r>
            <w:r w:rsidR="00661EC5">
              <w:t>NZ</w:t>
            </w:r>
            <w:r w:rsidR="00212467">
              <w:t xml:space="preserve"> NCP to </w:t>
            </w:r>
            <w:r w:rsidR="004E1460">
              <w:t>consider</w:t>
            </w:r>
            <w:r w:rsidR="00212467">
              <w:t>.</w:t>
            </w:r>
          </w:p>
          <w:p w14:paraId="32AE38E7" w14:textId="77777777" w:rsidR="001733D7" w:rsidRDefault="001733D7" w:rsidP="00F12F0B"/>
          <w:p w14:paraId="17F0368C" w14:textId="5A998483" w:rsidR="001733D7" w:rsidRDefault="00F4375F" w:rsidP="00F12F0B">
            <w:r w:rsidRPr="000B4572">
              <w:rPr>
                <w:b/>
                <w:bCs/>
              </w:rPr>
              <w:t>MBIE</w:t>
            </w:r>
            <w:r>
              <w:t xml:space="preserve"> </w:t>
            </w:r>
            <w:r w:rsidR="00673E88">
              <w:t>noted that the</w:t>
            </w:r>
            <w:r w:rsidR="00661EC5">
              <w:t xml:space="preserve"> fifth</w:t>
            </w:r>
            <w:r w:rsidR="00673E88">
              <w:t xml:space="preserve"> edition of the </w:t>
            </w:r>
            <w:hyperlink r:id="rId9" w:history="1">
              <w:r w:rsidR="00673E88" w:rsidRPr="0047053D">
                <w:rPr>
                  <w:rStyle w:val="Hyperlink"/>
                </w:rPr>
                <w:t>Government Procurement Rules</w:t>
              </w:r>
            </w:hyperlink>
            <w:r w:rsidR="00673E88">
              <w:t xml:space="preserve"> </w:t>
            </w:r>
            <w:r w:rsidR="004E1460">
              <w:t>was</w:t>
            </w:r>
            <w:r w:rsidR="00673E88">
              <w:t xml:space="preserve"> published this year. </w:t>
            </w:r>
            <w:r>
              <w:t>The UK ha</w:t>
            </w:r>
            <w:r w:rsidR="001D2A59">
              <w:t>s</w:t>
            </w:r>
            <w:r>
              <w:t xml:space="preserve"> </w:t>
            </w:r>
            <w:r w:rsidR="00661EC5">
              <w:t>released</w:t>
            </w:r>
            <w:r w:rsidR="00673E88">
              <w:t xml:space="preserve"> </w:t>
            </w:r>
            <w:hyperlink r:id="rId10" w:anchor="optional-reporting-template" w:history="1">
              <w:r w:rsidR="00EE42BA">
                <w:rPr>
                  <w:rStyle w:val="Hyperlink"/>
                </w:rPr>
                <w:t>S</w:t>
              </w:r>
              <w:r w:rsidR="0047053D" w:rsidRPr="0047053D">
                <w:rPr>
                  <w:rStyle w:val="Hyperlink"/>
                </w:rPr>
                <w:t xml:space="preserve">tatutory </w:t>
              </w:r>
              <w:r w:rsidR="00EE42BA">
                <w:rPr>
                  <w:rStyle w:val="Hyperlink"/>
                </w:rPr>
                <w:t>G</w:t>
              </w:r>
              <w:r w:rsidR="0047053D" w:rsidRPr="0047053D">
                <w:rPr>
                  <w:rStyle w:val="Hyperlink"/>
                </w:rPr>
                <w:t>uidance</w:t>
              </w:r>
            </w:hyperlink>
            <w:r w:rsidR="0047053D">
              <w:t xml:space="preserve"> </w:t>
            </w:r>
            <w:r w:rsidR="00661EC5">
              <w:t>and an o</w:t>
            </w:r>
            <w:r w:rsidR="001D2A59" w:rsidRPr="001D2A59">
              <w:t>ptional template</w:t>
            </w:r>
            <w:r w:rsidR="00661EC5">
              <w:t xml:space="preserve"> developed with Canada and Australia</w:t>
            </w:r>
            <w:r w:rsidR="001D2A59" w:rsidRPr="001D2A59">
              <w:t xml:space="preserve"> to serve as a guide for responding to supply chain transparency requirements. </w:t>
            </w:r>
            <w:r w:rsidR="00661EC5">
              <w:t>This template is</w:t>
            </w:r>
            <w:r w:rsidR="001D2A59" w:rsidRPr="001D2A59">
              <w:t xml:space="preserve"> designed to reduce administrative burden for organisations subject to supply chain reporting requirements in the UK, Australia and Canada</w:t>
            </w:r>
            <w:r w:rsidR="004D6F52">
              <w:t>, supporting</w:t>
            </w:r>
            <w:r w:rsidR="001D2A59" w:rsidRPr="001D2A59">
              <w:t xml:space="preserve"> the development of </w:t>
            </w:r>
            <w:r w:rsidR="004D6F52">
              <w:t>a single</w:t>
            </w:r>
            <w:r w:rsidR="001D2A59" w:rsidRPr="001D2A59">
              <w:t xml:space="preserve"> report for all three jurisdictions.</w:t>
            </w:r>
            <w:r w:rsidR="0047053D">
              <w:t xml:space="preserve"> </w:t>
            </w:r>
          </w:p>
          <w:p w14:paraId="62913D33" w14:textId="77777777" w:rsidR="00F61F2F" w:rsidRDefault="00F61F2F" w:rsidP="00F12F0B"/>
          <w:p w14:paraId="724D15FF" w14:textId="4F21F8C0" w:rsidR="00F61F2F" w:rsidRDefault="00F61F2F" w:rsidP="00F12F0B">
            <w:r w:rsidRPr="000B4572">
              <w:rPr>
                <w:b/>
                <w:bCs/>
              </w:rPr>
              <w:t>Transparency New Zealand</w:t>
            </w:r>
            <w:r>
              <w:t xml:space="preserve"> </w:t>
            </w:r>
            <w:r w:rsidR="004D6F52">
              <w:t>highlighted its</w:t>
            </w:r>
            <w:r>
              <w:t xml:space="preserve"> work </w:t>
            </w:r>
            <w:r w:rsidR="008F42DC">
              <w:t>o</w:t>
            </w:r>
            <w:r w:rsidR="00434C82">
              <w:t>n</w:t>
            </w:r>
            <w:r>
              <w:t xml:space="preserve"> </w:t>
            </w:r>
            <w:r w:rsidR="004D6F52">
              <w:t xml:space="preserve">improving </w:t>
            </w:r>
            <w:r>
              <w:t xml:space="preserve">data accessibility </w:t>
            </w:r>
            <w:r w:rsidR="004D6F52">
              <w:t>and suitability</w:t>
            </w:r>
            <w:r>
              <w:t xml:space="preserve"> for reporting and monitoring</w:t>
            </w:r>
            <w:r w:rsidR="004D6F52">
              <w:t>,</w:t>
            </w:r>
            <w:r w:rsidR="008F42DC">
              <w:t xml:space="preserve"> which is</w:t>
            </w:r>
            <w:r w:rsidR="00ED5063">
              <w:t xml:space="preserve"> </w:t>
            </w:r>
            <w:r w:rsidR="004D6F52">
              <w:t xml:space="preserve">currently </w:t>
            </w:r>
            <w:r w:rsidR="00ED5063">
              <w:t>being trialled in the environmental space</w:t>
            </w:r>
            <w:r w:rsidR="00434C82">
              <w:t>.</w:t>
            </w:r>
            <w:r w:rsidR="004A7BFA">
              <w:t xml:space="preserve"> A</w:t>
            </w:r>
            <w:r w:rsidR="004D6F52">
              <w:t xml:space="preserve">it also noted a report on </w:t>
            </w:r>
            <w:hyperlink r:id="rId11" w:history="1">
              <w:r w:rsidR="004A7BFA" w:rsidRPr="004A7BFA">
                <w:rPr>
                  <w:rStyle w:val="Hyperlink"/>
                </w:rPr>
                <w:t>Carbon &amp; ESG Ratings of NZ Companies</w:t>
              </w:r>
            </w:hyperlink>
            <w:r w:rsidR="004A7BFA">
              <w:t xml:space="preserve"> </w:t>
            </w:r>
            <w:r w:rsidR="004D6F52">
              <w:t>for the group’s awareness</w:t>
            </w:r>
            <w:r w:rsidR="004A7BFA">
              <w:t>.</w:t>
            </w:r>
          </w:p>
        </w:tc>
      </w:tr>
      <w:tr w:rsidR="006E54A0" w14:paraId="68C4423C" w14:textId="77777777" w:rsidTr="009F4E7F">
        <w:tc>
          <w:tcPr>
            <w:tcW w:w="891" w:type="dxa"/>
          </w:tcPr>
          <w:p w14:paraId="692E20B6" w14:textId="57EE36E4" w:rsidR="006E54A0" w:rsidRDefault="006E54A0" w:rsidP="009F4E7F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2932" w:type="dxa"/>
          </w:tcPr>
          <w:p w14:paraId="29A9DC0E" w14:textId="77777777" w:rsidR="006E54A0" w:rsidDel="003269BF" w:rsidRDefault="006E54A0" w:rsidP="009F4E7F">
            <w:r>
              <w:t>Any other business</w:t>
            </w:r>
          </w:p>
        </w:tc>
        <w:tc>
          <w:tcPr>
            <w:tcW w:w="6553" w:type="dxa"/>
          </w:tcPr>
          <w:p w14:paraId="746BDB2D" w14:textId="77777777" w:rsidR="006E54A0" w:rsidDel="003269BF" w:rsidRDefault="006E54A0" w:rsidP="009F4E7F">
            <w:r>
              <w:t>N/A</w:t>
            </w:r>
          </w:p>
        </w:tc>
      </w:tr>
    </w:tbl>
    <w:p w14:paraId="3228AA99" w14:textId="77777777" w:rsidR="008E5E24" w:rsidRDefault="008E5E24"/>
    <w:sectPr w:rsidR="008E5E24" w:rsidSect="006E54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AE52A" w14:textId="77777777" w:rsidR="004A7BFA" w:rsidRDefault="004A7BFA">
      <w:pPr>
        <w:spacing w:after="0" w:line="240" w:lineRule="auto"/>
      </w:pPr>
      <w:r>
        <w:separator/>
      </w:r>
    </w:p>
  </w:endnote>
  <w:endnote w:type="continuationSeparator" w:id="0">
    <w:p w14:paraId="5B2B278B" w14:textId="77777777" w:rsidR="004A7BFA" w:rsidRDefault="004A7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D3C4" w14:textId="77777777" w:rsidR="00DB3300" w:rsidRDefault="00DB33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60AC" w14:textId="77777777" w:rsidR="00DB3300" w:rsidRDefault="00DB33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EA2F" w14:textId="77777777" w:rsidR="00DB3300" w:rsidRDefault="00DB33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ACD7" w14:textId="77777777" w:rsidR="004A7BFA" w:rsidRDefault="004A7BFA">
      <w:pPr>
        <w:spacing w:after="0" w:line="240" w:lineRule="auto"/>
      </w:pPr>
      <w:r>
        <w:separator/>
      </w:r>
    </w:p>
  </w:footnote>
  <w:footnote w:type="continuationSeparator" w:id="0">
    <w:p w14:paraId="2A36D05E" w14:textId="77777777" w:rsidR="004A7BFA" w:rsidRDefault="004A7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1418" w14:textId="77777777" w:rsidR="00DB3300" w:rsidRDefault="00DB33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5117" w14:textId="77777777" w:rsidR="00DB3300" w:rsidRDefault="00DB3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1BE4" w14:textId="77777777" w:rsidR="00DB3300" w:rsidRDefault="00DB3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F51"/>
    <w:multiLevelType w:val="hybridMultilevel"/>
    <w:tmpl w:val="FB1CFEE2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08154E0"/>
    <w:multiLevelType w:val="hybridMultilevel"/>
    <w:tmpl w:val="D8BE98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C191E"/>
    <w:multiLevelType w:val="hybridMultilevel"/>
    <w:tmpl w:val="671E8796"/>
    <w:lvl w:ilvl="0" w:tplc="F8B8436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13145"/>
    <w:multiLevelType w:val="hybridMultilevel"/>
    <w:tmpl w:val="C6C4F9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20FD1"/>
    <w:multiLevelType w:val="hybridMultilevel"/>
    <w:tmpl w:val="DCCAE1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71852"/>
    <w:multiLevelType w:val="hybridMultilevel"/>
    <w:tmpl w:val="5CB86B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A770D"/>
    <w:multiLevelType w:val="hybridMultilevel"/>
    <w:tmpl w:val="1E40DAF6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79216C6"/>
    <w:multiLevelType w:val="hybridMultilevel"/>
    <w:tmpl w:val="452AC604"/>
    <w:lvl w:ilvl="0" w:tplc="7D9097C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50264"/>
    <w:multiLevelType w:val="hybridMultilevel"/>
    <w:tmpl w:val="6B24A1C4"/>
    <w:lvl w:ilvl="0" w:tplc="21DAF5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3472E"/>
    <w:multiLevelType w:val="hybridMultilevel"/>
    <w:tmpl w:val="0584E8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23F09"/>
    <w:multiLevelType w:val="hybridMultilevel"/>
    <w:tmpl w:val="01DC9D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028924">
    <w:abstractNumId w:val="4"/>
  </w:num>
  <w:num w:numId="2" w16cid:durableId="179439989">
    <w:abstractNumId w:val="2"/>
  </w:num>
  <w:num w:numId="3" w16cid:durableId="1048533124">
    <w:abstractNumId w:val="1"/>
  </w:num>
  <w:num w:numId="4" w16cid:durableId="408158915">
    <w:abstractNumId w:val="8"/>
  </w:num>
  <w:num w:numId="5" w16cid:durableId="1343625300">
    <w:abstractNumId w:val="3"/>
  </w:num>
  <w:num w:numId="6" w16cid:durableId="275992642">
    <w:abstractNumId w:val="7"/>
  </w:num>
  <w:num w:numId="7" w16cid:durableId="1455051450">
    <w:abstractNumId w:val="9"/>
  </w:num>
  <w:num w:numId="8" w16cid:durableId="1461150869">
    <w:abstractNumId w:val="0"/>
  </w:num>
  <w:num w:numId="9" w16cid:durableId="2117869270">
    <w:abstractNumId w:val="6"/>
  </w:num>
  <w:num w:numId="10" w16cid:durableId="784234544">
    <w:abstractNumId w:val="5"/>
  </w:num>
  <w:num w:numId="11" w16cid:durableId="179316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3B"/>
    <w:rsid w:val="0000665E"/>
    <w:rsid w:val="00030AFF"/>
    <w:rsid w:val="000A03B8"/>
    <w:rsid w:val="000A5BED"/>
    <w:rsid w:val="000A5ED2"/>
    <w:rsid w:val="000B4572"/>
    <w:rsid w:val="000D3FC5"/>
    <w:rsid w:val="000D7B58"/>
    <w:rsid w:val="000F3097"/>
    <w:rsid w:val="001034E7"/>
    <w:rsid w:val="00114165"/>
    <w:rsid w:val="001202ED"/>
    <w:rsid w:val="00161DB8"/>
    <w:rsid w:val="0016578E"/>
    <w:rsid w:val="001733D7"/>
    <w:rsid w:val="00197CCB"/>
    <w:rsid w:val="001A42BF"/>
    <w:rsid w:val="001B77C7"/>
    <w:rsid w:val="001D2A59"/>
    <w:rsid w:val="002060BE"/>
    <w:rsid w:val="00212467"/>
    <w:rsid w:val="0024033B"/>
    <w:rsid w:val="0026182D"/>
    <w:rsid w:val="002D038B"/>
    <w:rsid w:val="002E438C"/>
    <w:rsid w:val="003B3025"/>
    <w:rsid w:val="003E160A"/>
    <w:rsid w:val="003F0155"/>
    <w:rsid w:val="003F6074"/>
    <w:rsid w:val="003F60B8"/>
    <w:rsid w:val="00404AB7"/>
    <w:rsid w:val="00434C82"/>
    <w:rsid w:val="0047053D"/>
    <w:rsid w:val="00481A34"/>
    <w:rsid w:val="004A7BFA"/>
    <w:rsid w:val="004D6F52"/>
    <w:rsid w:val="004E1460"/>
    <w:rsid w:val="004F100E"/>
    <w:rsid w:val="00533A63"/>
    <w:rsid w:val="00566B81"/>
    <w:rsid w:val="00582161"/>
    <w:rsid w:val="005B0A0D"/>
    <w:rsid w:val="005E25A9"/>
    <w:rsid w:val="006153FB"/>
    <w:rsid w:val="00661EC5"/>
    <w:rsid w:val="00662D1E"/>
    <w:rsid w:val="00673E88"/>
    <w:rsid w:val="006831F7"/>
    <w:rsid w:val="006C5C20"/>
    <w:rsid w:val="006E3088"/>
    <w:rsid w:val="006E54A0"/>
    <w:rsid w:val="00757D10"/>
    <w:rsid w:val="00793A50"/>
    <w:rsid w:val="007941C1"/>
    <w:rsid w:val="007C4CE1"/>
    <w:rsid w:val="007D4DE0"/>
    <w:rsid w:val="00847750"/>
    <w:rsid w:val="008674A9"/>
    <w:rsid w:val="00881132"/>
    <w:rsid w:val="008846DA"/>
    <w:rsid w:val="008A215A"/>
    <w:rsid w:val="008A4740"/>
    <w:rsid w:val="008A7285"/>
    <w:rsid w:val="008E538D"/>
    <w:rsid w:val="008E5E24"/>
    <w:rsid w:val="008F42DC"/>
    <w:rsid w:val="00900948"/>
    <w:rsid w:val="009279EE"/>
    <w:rsid w:val="00972C18"/>
    <w:rsid w:val="009825D4"/>
    <w:rsid w:val="009B5E36"/>
    <w:rsid w:val="009F467F"/>
    <w:rsid w:val="00A57E9A"/>
    <w:rsid w:val="00AF135C"/>
    <w:rsid w:val="00B0770E"/>
    <w:rsid w:val="00BC0252"/>
    <w:rsid w:val="00BF1D09"/>
    <w:rsid w:val="00D104C0"/>
    <w:rsid w:val="00D93D03"/>
    <w:rsid w:val="00DA753C"/>
    <w:rsid w:val="00DB3300"/>
    <w:rsid w:val="00DE0743"/>
    <w:rsid w:val="00E93646"/>
    <w:rsid w:val="00EA2FED"/>
    <w:rsid w:val="00EA64AC"/>
    <w:rsid w:val="00EA66DE"/>
    <w:rsid w:val="00EC410F"/>
    <w:rsid w:val="00ED34B1"/>
    <w:rsid w:val="00ED5063"/>
    <w:rsid w:val="00EE00D6"/>
    <w:rsid w:val="00EE42BA"/>
    <w:rsid w:val="00F12F0B"/>
    <w:rsid w:val="00F21EE0"/>
    <w:rsid w:val="00F22207"/>
    <w:rsid w:val="00F26A08"/>
    <w:rsid w:val="00F4375F"/>
    <w:rsid w:val="00F61F2F"/>
    <w:rsid w:val="00F63C65"/>
    <w:rsid w:val="00F8455A"/>
    <w:rsid w:val="00FC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41AD4"/>
  <w15:chartTrackingRefBased/>
  <w15:docId w15:val="{218E1707-0A27-4136-B476-17B3297E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4A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3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3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3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3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3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54A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5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4A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5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4A0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533A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1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410F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6153FB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8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manrights.unsw.edu.au/events/united-nations-business-and-human-rights-regional-foru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rsythbarr.co.nz/assets/Uploads/ESG/CESG-Report-Scorecards-2025/Carbon-ESG-Ratings-of-NZ-Companies-2025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uk/government/publications/transparency-in-supply-chains-a-practical-guide/international-reporting-template-on-modern-slavery-forced-labour-and-child-labour-accessibl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rocurement.govt.nz/government-procurement-framework/government-procurement-rule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3A86D-2BD4-4761-81C3-23B75F85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966</Words>
  <Characters>5512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National Contact Point (NCP) Liaison Group Meeting Minutes 17 July 2025</dc:title>
  <dc:subject/>
  <dc:creator>Ministry of Business, Innovation &amp; Employment</dc:creator>
  <cp:keywords>MAKO ID 183559862</cp:keywords>
  <dc:description/>
  <dcterms:created xsi:type="dcterms:W3CDTF">2025-12-16T03:09:00Z</dcterms:created>
  <dcterms:modified xsi:type="dcterms:W3CDTF">2025-12-17T21:05:00Z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2025-12-10T21:42:06Z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7ac0b4fc-932c-43aa-97c3-3275591146e8</vt:lpwstr>
  </property>
  <property fmtid="{D5CDD505-2E9C-101B-9397-08002B2CF9AE}" pid="8" name="MSIP_Label_738466f7-346c-47bb-a4d2-4a6558d61975_ContentBits">
    <vt:lpwstr>0</vt:lpwstr>
  </property>
  <property fmtid="{D5CDD505-2E9C-101B-9397-08002B2CF9AE}" pid="9" name="MSIP_Label_738466f7-346c-47bb-a4d2-4a6558d61975_Tag">
    <vt:lpwstr>10, 0, 1, 1</vt:lpwstr>
  </property>
</Properties>
</file>