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065E8" w14:textId="60E2EF66" w:rsidR="007C0575" w:rsidRPr="001C2F8F" w:rsidRDefault="00EF55A6" w:rsidP="001C2F8F">
      <w:pPr>
        <w:jc w:val="center"/>
        <w:rPr>
          <w:b/>
          <w:bCs/>
          <w:sz w:val="24"/>
          <w:szCs w:val="24"/>
        </w:rPr>
      </w:pPr>
      <w:r>
        <w:rPr>
          <w:b/>
          <w:bCs/>
          <w:sz w:val="24"/>
          <w:szCs w:val="24"/>
        </w:rPr>
        <w:t xml:space="preserve">New Zealand </w:t>
      </w:r>
      <w:r w:rsidR="007C0575" w:rsidRPr="001C2F8F">
        <w:rPr>
          <w:b/>
          <w:bCs/>
          <w:sz w:val="24"/>
          <w:szCs w:val="24"/>
        </w:rPr>
        <w:t>National Contact Point Liaison Group Meeting</w:t>
      </w:r>
      <w:r w:rsidR="001C2F8F" w:rsidRPr="001C2F8F">
        <w:rPr>
          <w:b/>
          <w:bCs/>
          <w:sz w:val="24"/>
          <w:szCs w:val="24"/>
        </w:rPr>
        <w:t xml:space="preserve">: Minutes </w:t>
      </w:r>
      <w:r w:rsidR="002346AA">
        <w:rPr>
          <w:b/>
          <w:bCs/>
          <w:sz w:val="24"/>
          <w:szCs w:val="24"/>
        </w:rPr>
        <w:t>3 July 2024</w:t>
      </w:r>
    </w:p>
    <w:tbl>
      <w:tblPr>
        <w:tblStyle w:val="TableGrid"/>
        <w:tblW w:w="0" w:type="auto"/>
        <w:tblLook w:val="04A0" w:firstRow="1" w:lastRow="0" w:firstColumn="1" w:lastColumn="0" w:noHBand="0" w:noVBand="1"/>
      </w:tblPr>
      <w:tblGrid>
        <w:gridCol w:w="891"/>
        <w:gridCol w:w="2932"/>
        <w:gridCol w:w="6553"/>
        <w:gridCol w:w="80"/>
      </w:tblGrid>
      <w:tr w:rsidR="004839A1" w14:paraId="0884D627" w14:textId="77777777" w:rsidTr="003759E7">
        <w:tc>
          <w:tcPr>
            <w:tcW w:w="3823" w:type="dxa"/>
            <w:gridSpan w:val="2"/>
          </w:tcPr>
          <w:p w14:paraId="6833B82B" w14:textId="77777777" w:rsidR="004839A1" w:rsidRDefault="004839A1" w:rsidP="004839A1">
            <w:pPr>
              <w:rPr>
                <w:b/>
                <w:bCs/>
              </w:rPr>
            </w:pPr>
            <w:r>
              <w:rPr>
                <w:b/>
                <w:bCs/>
              </w:rPr>
              <w:t>Attendees</w:t>
            </w:r>
          </w:p>
          <w:p w14:paraId="0EC72281" w14:textId="77777777" w:rsidR="004839A1" w:rsidRDefault="004839A1" w:rsidP="004839A1">
            <w:pPr>
              <w:rPr>
                <w:b/>
                <w:bCs/>
              </w:rPr>
            </w:pPr>
          </w:p>
          <w:p w14:paraId="23EEEA6C" w14:textId="77777777" w:rsidR="004839A1" w:rsidRDefault="004839A1" w:rsidP="004839A1">
            <w:pPr>
              <w:rPr>
                <w:b/>
                <w:bCs/>
              </w:rPr>
            </w:pPr>
          </w:p>
          <w:p w14:paraId="4644742C" w14:textId="77777777" w:rsidR="004839A1" w:rsidRDefault="004839A1" w:rsidP="004839A1">
            <w:pPr>
              <w:rPr>
                <w:b/>
                <w:bCs/>
              </w:rPr>
            </w:pPr>
          </w:p>
          <w:p w14:paraId="4AF45E22" w14:textId="77777777" w:rsidR="004839A1" w:rsidRDefault="004839A1" w:rsidP="004839A1">
            <w:pPr>
              <w:rPr>
                <w:b/>
                <w:bCs/>
              </w:rPr>
            </w:pPr>
          </w:p>
          <w:p w14:paraId="26E7A617" w14:textId="77777777" w:rsidR="004839A1" w:rsidRDefault="004839A1" w:rsidP="004839A1">
            <w:pPr>
              <w:rPr>
                <w:b/>
                <w:bCs/>
              </w:rPr>
            </w:pPr>
          </w:p>
          <w:p w14:paraId="3362495C" w14:textId="77777777" w:rsidR="004839A1" w:rsidRDefault="004839A1" w:rsidP="004839A1">
            <w:pPr>
              <w:rPr>
                <w:b/>
                <w:bCs/>
              </w:rPr>
            </w:pPr>
          </w:p>
          <w:p w14:paraId="0873D202" w14:textId="5C0E44CF" w:rsidR="004839A1" w:rsidRDefault="004839A1" w:rsidP="004839A1">
            <w:pPr>
              <w:rPr>
                <w:b/>
                <w:bCs/>
              </w:rPr>
            </w:pPr>
          </w:p>
          <w:p w14:paraId="2A72AFE3" w14:textId="0CD26685" w:rsidR="003C4C49" w:rsidRDefault="003C4C49" w:rsidP="004839A1">
            <w:pPr>
              <w:rPr>
                <w:b/>
                <w:bCs/>
              </w:rPr>
            </w:pPr>
          </w:p>
          <w:p w14:paraId="7EB3A1A1" w14:textId="4C4C88DC" w:rsidR="003C4C49" w:rsidRDefault="003C4C49" w:rsidP="004839A1">
            <w:pPr>
              <w:rPr>
                <w:b/>
                <w:bCs/>
              </w:rPr>
            </w:pPr>
          </w:p>
          <w:p w14:paraId="2F2B4500" w14:textId="2A02EC1D" w:rsidR="003C4C49" w:rsidRDefault="003C4C49" w:rsidP="004839A1">
            <w:pPr>
              <w:rPr>
                <w:b/>
                <w:bCs/>
              </w:rPr>
            </w:pPr>
          </w:p>
          <w:p w14:paraId="4D28E994" w14:textId="3595B2D3" w:rsidR="003C4C49" w:rsidRDefault="003C4C49" w:rsidP="004839A1">
            <w:pPr>
              <w:rPr>
                <w:b/>
                <w:bCs/>
              </w:rPr>
            </w:pPr>
          </w:p>
          <w:p w14:paraId="0EBDE389" w14:textId="77777777" w:rsidR="003D7F98" w:rsidRDefault="003D7F98" w:rsidP="004839A1">
            <w:pPr>
              <w:rPr>
                <w:b/>
                <w:bCs/>
              </w:rPr>
            </w:pPr>
          </w:p>
          <w:p w14:paraId="42EAA3C5" w14:textId="77777777" w:rsidR="004D7A52" w:rsidRDefault="004D7A52" w:rsidP="004839A1">
            <w:pPr>
              <w:rPr>
                <w:b/>
                <w:bCs/>
              </w:rPr>
            </w:pPr>
          </w:p>
          <w:p w14:paraId="1E91A68D" w14:textId="77777777" w:rsidR="004F0942" w:rsidRDefault="004F0942" w:rsidP="004839A1">
            <w:pPr>
              <w:rPr>
                <w:b/>
                <w:bCs/>
              </w:rPr>
            </w:pPr>
          </w:p>
          <w:p w14:paraId="5D462509" w14:textId="77777777" w:rsidR="004F0942" w:rsidRDefault="004F0942" w:rsidP="004839A1">
            <w:pPr>
              <w:rPr>
                <w:b/>
                <w:bCs/>
              </w:rPr>
            </w:pPr>
          </w:p>
          <w:p w14:paraId="33DB299D" w14:textId="77777777" w:rsidR="00C4353E" w:rsidRDefault="00C4353E" w:rsidP="004839A1">
            <w:pPr>
              <w:rPr>
                <w:b/>
                <w:bCs/>
              </w:rPr>
            </w:pPr>
          </w:p>
          <w:p w14:paraId="6B285AF7" w14:textId="77777777" w:rsidR="00C4353E" w:rsidRDefault="00C4353E" w:rsidP="004839A1">
            <w:pPr>
              <w:rPr>
                <w:b/>
                <w:bCs/>
              </w:rPr>
            </w:pPr>
          </w:p>
          <w:p w14:paraId="044274EA" w14:textId="04D49A19" w:rsidR="004839A1" w:rsidRPr="003F6206" w:rsidRDefault="004839A1" w:rsidP="004839A1">
            <w:pPr>
              <w:rPr>
                <w:b/>
                <w:bCs/>
              </w:rPr>
            </w:pPr>
            <w:r>
              <w:rPr>
                <w:b/>
                <w:bCs/>
              </w:rPr>
              <w:t>Apologies</w:t>
            </w:r>
          </w:p>
        </w:tc>
        <w:tc>
          <w:tcPr>
            <w:tcW w:w="6633" w:type="dxa"/>
            <w:gridSpan w:val="2"/>
          </w:tcPr>
          <w:p w14:paraId="7E342451" w14:textId="1206D351" w:rsidR="004839A1" w:rsidRDefault="004F0942" w:rsidP="004D7A52">
            <w:pPr>
              <w:pStyle w:val="ListParagraph"/>
              <w:numPr>
                <w:ilvl w:val="0"/>
                <w:numId w:val="9"/>
              </w:numPr>
            </w:pPr>
            <w:r>
              <w:t>Ministry of Business Innovation and Employment (MBIE)</w:t>
            </w:r>
            <w:r w:rsidR="004F519B">
              <w:t xml:space="preserve"> </w:t>
            </w:r>
            <w:r>
              <w:t>–</w:t>
            </w:r>
            <w:r w:rsidR="004F519B">
              <w:t xml:space="preserve"> </w:t>
            </w:r>
            <w:r w:rsidR="004D7A52">
              <w:t xml:space="preserve">National Contact Point for NCP/Liaison Group Chair; </w:t>
            </w:r>
            <w:r w:rsidR="004F519B">
              <w:t>NCP Secretariat</w:t>
            </w:r>
            <w:r w:rsidR="004D7A52">
              <w:t xml:space="preserve"> staff</w:t>
            </w:r>
          </w:p>
          <w:p w14:paraId="1FA74584" w14:textId="3E2E51D9" w:rsidR="004F519B" w:rsidRDefault="004D7A52" w:rsidP="004F0942">
            <w:pPr>
              <w:pStyle w:val="ListParagraph"/>
              <w:numPr>
                <w:ilvl w:val="0"/>
                <w:numId w:val="9"/>
              </w:numPr>
            </w:pPr>
            <w:r>
              <w:t xml:space="preserve">Other </w:t>
            </w:r>
            <w:r w:rsidR="004F519B">
              <w:t>MBIE – Trade and Supply Chains, International Labour Policy, Competition Policy</w:t>
            </w:r>
          </w:p>
          <w:p w14:paraId="25168D38" w14:textId="1C1675FC" w:rsidR="004F519B" w:rsidRDefault="004F0942" w:rsidP="004F0942">
            <w:pPr>
              <w:pStyle w:val="ListParagraph"/>
              <w:numPr>
                <w:ilvl w:val="0"/>
                <w:numId w:val="9"/>
              </w:numPr>
            </w:pPr>
            <w:r>
              <w:t>Ministry for Primary Industries</w:t>
            </w:r>
            <w:r w:rsidR="00FA5272">
              <w:t xml:space="preserve"> – International Trade</w:t>
            </w:r>
          </w:p>
          <w:p w14:paraId="79C4A2F2" w14:textId="1496863C" w:rsidR="004F519B" w:rsidRDefault="004F0942" w:rsidP="004F0942">
            <w:pPr>
              <w:pStyle w:val="ListParagraph"/>
              <w:numPr>
                <w:ilvl w:val="0"/>
                <w:numId w:val="9"/>
              </w:numPr>
            </w:pPr>
            <w:r>
              <w:t>Ministry of Justice</w:t>
            </w:r>
            <w:r w:rsidR="00FA5272">
              <w:t xml:space="preserve"> – Anti-bribery </w:t>
            </w:r>
          </w:p>
          <w:p w14:paraId="3830C547" w14:textId="2CA2672A" w:rsidR="004F519B" w:rsidRDefault="004F0942" w:rsidP="004F0942">
            <w:pPr>
              <w:pStyle w:val="ListParagraph"/>
              <w:numPr>
                <w:ilvl w:val="0"/>
                <w:numId w:val="9"/>
              </w:numPr>
            </w:pPr>
            <w:r>
              <w:t>Ministry of Foreign Affairs and Trade</w:t>
            </w:r>
            <w:r w:rsidR="00FA5272">
              <w:t xml:space="preserve"> – Economic Division, </w:t>
            </w:r>
            <w:r w:rsidR="00FA5272">
              <w:rPr>
                <w:rStyle w:val="xxcf11"/>
              </w:rPr>
              <w:t>Trade Policy and Negotiations Division</w:t>
            </w:r>
          </w:p>
          <w:p w14:paraId="7D5C8927" w14:textId="7A12CED3" w:rsidR="004F519B" w:rsidRDefault="004F0942" w:rsidP="004F0942">
            <w:pPr>
              <w:pStyle w:val="ListParagraph"/>
              <w:numPr>
                <w:ilvl w:val="0"/>
                <w:numId w:val="9"/>
              </w:numPr>
            </w:pPr>
            <w:r>
              <w:t>Inland Revenue Department</w:t>
            </w:r>
            <w:r w:rsidR="00FA5272">
              <w:t xml:space="preserve"> - </w:t>
            </w:r>
            <w:r w:rsidR="00FA5272" w:rsidRPr="00FA5272">
              <w:t>Policy and Regulatory Stewardship</w:t>
            </w:r>
          </w:p>
          <w:p w14:paraId="1797D0B2" w14:textId="6E6AAB44" w:rsidR="004F519B" w:rsidRDefault="004F0942" w:rsidP="004F0942">
            <w:pPr>
              <w:pStyle w:val="ListParagraph"/>
              <w:numPr>
                <w:ilvl w:val="0"/>
                <w:numId w:val="9"/>
              </w:numPr>
            </w:pPr>
            <w:r>
              <w:t>New Zealand Trade and Enterprise</w:t>
            </w:r>
            <w:r w:rsidR="00FA5272">
              <w:t xml:space="preserve"> – Strategy </w:t>
            </w:r>
          </w:p>
          <w:p w14:paraId="47E2F376" w14:textId="5F637664" w:rsidR="004F519B" w:rsidRDefault="004F519B" w:rsidP="004F0942">
            <w:pPr>
              <w:pStyle w:val="ListParagraph"/>
              <w:numPr>
                <w:ilvl w:val="0"/>
                <w:numId w:val="9"/>
              </w:numPr>
            </w:pPr>
            <w:r>
              <w:t>Human Rights Commission</w:t>
            </w:r>
          </w:p>
          <w:p w14:paraId="6F20DE5D" w14:textId="414C556C" w:rsidR="004F519B" w:rsidRDefault="004F519B" w:rsidP="004F0942">
            <w:pPr>
              <w:pStyle w:val="ListParagraph"/>
              <w:numPr>
                <w:ilvl w:val="0"/>
                <w:numId w:val="9"/>
              </w:numPr>
            </w:pPr>
            <w:r>
              <w:t>Deloitte</w:t>
            </w:r>
          </w:p>
          <w:p w14:paraId="33759539" w14:textId="0B269269" w:rsidR="004F519B" w:rsidRDefault="004F519B" w:rsidP="004F0942">
            <w:pPr>
              <w:pStyle w:val="ListParagraph"/>
              <w:numPr>
                <w:ilvl w:val="0"/>
                <w:numId w:val="9"/>
              </w:numPr>
            </w:pPr>
            <w:r>
              <w:t xml:space="preserve">Ē </w:t>
            </w:r>
            <w:proofErr w:type="spellStart"/>
            <w:r>
              <w:t>tu</w:t>
            </w:r>
            <w:proofErr w:type="spellEnd"/>
          </w:p>
          <w:p w14:paraId="7DB9640F" w14:textId="2F152228" w:rsidR="004F519B" w:rsidRDefault="004F519B" w:rsidP="004F0942">
            <w:pPr>
              <w:pStyle w:val="ListParagraph"/>
              <w:numPr>
                <w:ilvl w:val="0"/>
                <w:numId w:val="9"/>
              </w:numPr>
            </w:pPr>
            <w:r>
              <w:t>Professor Petra Butler</w:t>
            </w:r>
          </w:p>
          <w:p w14:paraId="7BC60C50" w14:textId="77777777" w:rsidR="00FA5272" w:rsidRDefault="00FA5272" w:rsidP="004D7A52"/>
          <w:p w14:paraId="79FD4889" w14:textId="77777777" w:rsidR="00C4353E" w:rsidRDefault="00C4353E" w:rsidP="004D7A52"/>
          <w:p w14:paraId="4AEFBF99" w14:textId="16B6BEE5" w:rsidR="004F519B" w:rsidRDefault="004F519B" w:rsidP="004F0942">
            <w:pPr>
              <w:pStyle w:val="ListParagraph"/>
              <w:numPr>
                <w:ilvl w:val="0"/>
                <w:numId w:val="9"/>
              </w:numPr>
            </w:pPr>
            <w:r>
              <w:t>Institute of Directors</w:t>
            </w:r>
          </w:p>
          <w:p w14:paraId="048BF6B9" w14:textId="464626F1" w:rsidR="001C2F8F" w:rsidRPr="008D28DE" w:rsidRDefault="001C2F8F" w:rsidP="004F519B"/>
        </w:tc>
      </w:tr>
      <w:tr w:rsidR="004839A1" w14:paraId="3AF68074" w14:textId="77777777" w:rsidTr="003759E7">
        <w:tc>
          <w:tcPr>
            <w:tcW w:w="891" w:type="dxa"/>
          </w:tcPr>
          <w:p w14:paraId="09486F95" w14:textId="77777777" w:rsidR="008D28DE" w:rsidRDefault="008D28DE" w:rsidP="004839A1">
            <w:pPr>
              <w:rPr>
                <w:b/>
                <w:bCs/>
                <w:i/>
                <w:iCs/>
              </w:rPr>
            </w:pPr>
          </w:p>
          <w:p w14:paraId="08D44675" w14:textId="5DC92976" w:rsidR="004839A1" w:rsidRPr="003F6206" w:rsidRDefault="004839A1" w:rsidP="004839A1">
            <w:pPr>
              <w:rPr>
                <w:b/>
                <w:bCs/>
                <w:i/>
                <w:iCs/>
              </w:rPr>
            </w:pPr>
            <w:r w:rsidRPr="003F6206">
              <w:rPr>
                <w:b/>
                <w:bCs/>
                <w:i/>
                <w:iCs/>
              </w:rPr>
              <w:t>Item</w:t>
            </w:r>
          </w:p>
        </w:tc>
        <w:tc>
          <w:tcPr>
            <w:tcW w:w="2932" w:type="dxa"/>
          </w:tcPr>
          <w:p w14:paraId="409CA841" w14:textId="77777777" w:rsidR="008D28DE" w:rsidRDefault="008D28DE" w:rsidP="004839A1">
            <w:pPr>
              <w:rPr>
                <w:b/>
                <w:bCs/>
                <w:i/>
                <w:iCs/>
              </w:rPr>
            </w:pPr>
          </w:p>
          <w:p w14:paraId="2DCF4D25" w14:textId="3AED6731" w:rsidR="004839A1" w:rsidRPr="003F6206" w:rsidRDefault="00E84095" w:rsidP="004839A1">
            <w:pPr>
              <w:rPr>
                <w:b/>
                <w:bCs/>
              </w:rPr>
            </w:pPr>
            <w:r w:rsidRPr="003F6206">
              <w:rPr>
                <w:b/>
                <w:bCs/>
                <w:i/>
                <w:iCs/>
              </w:rPr>
              <w:t>Description</w:t>
            </w:r>
            <w:r>
              <w:rPr>
                <w:b/>
                <w:bCs/>
                <w:i/>
                <w:iCs/>
              </w:rPr>
              <w:t>/Attachment</w:t>
            </w:r>
          </w:p>
        </w:tc>
        <w:tc>
          <w:tcPr>
            <w:tcW w:w="6633" w:type="dxa"/>
            <w:gridSpan w:val="2"/>
          </w:tcPr>
          <w:p w14:paraId="076EBAB2" w14:textId="77777777" w:rsidR="008D28DE" w:rsidRDefault="004839A1" w:rsidP="004839A1">
            <w:pPr>
              <w:tabs>
                <w:tab w:val="left" w:pos="1308"/>
                <w:tab w:val="left" w:pos="4152"/>
              </w:tabs>
              <w:rPr>
                <w:b/>
                <w:bCs/>
                <w:i/>
                <w:iCs/>
              </w:rPr>
            </w:pPr>
            <w:r w:rsidRPr="003F6206">
              <w:rPr>
                <w:b/>
                <w:bCs/>
                <w:i/>
                <w:iCs/>
              </w:rPr>
              <w:tab/>
            </w:r>
            <w:r>
              <w:rPr>
                <w:b/>
                <w:bCs/>
                <w:i/>
                <w:iCs/>
              </w:rPr>
              <w:tab/>
            </w:r>
            <w:r w:rsidRPr="003F6206">
              <w:rPr>
                <w:b/>
                <w:bCs/>
                <w:i/>
                <w:iCs/>
              </w:rPr>
              <w:t xml:space="preserve">    </w:t>
            </w:r>
            <w:r>
              <w:rPr>
                <w:b/>
                <w:bCs/>
                <w:i/>
                <w:iCs/>
              </w:rPr>
              <w:t xml:space="preserve">        </w:t>
            </w:r>
          </w:p>
          <w:p w14:paraId="529FB5F8" w14:textId="3DFCFA3C" w:rsidR="004839A1" w:rsidRPr="003F6206" w:rsidRDefault="004839A1" w:rsidP="004839A1">
            <w:pPr>
              <w:tabs>
                <w:tab w:val="left" w:pos="1308"/>
                <w:tab w:val="left" w:pos="4152"/>
              </w:tabs>
              <w:rPr>
                <w:b/>
                <w:bCs/>
                <w:i/>
                <w:iCs/>
              </w:rPr>
            </w:pPr>
            <w:r>
              <w:rPr>
                <w:b/>
                <w:bCs/>
                <w:i/>
                <w:iCs/>
              </w:rPr>
              <w:t>Notes/Action</w:t>
            </w:r>
          </w:p>
        </w:tc>
      </w:tr>
      <w:tr w:rsidR="00E84095" w14:paraId="4BDF7A0E" w14:textId="77777777" w:rsidTr="003759E7">
        <w:tc>
          <w:tcPr>
            <w:tcW w:w="891" w:type="dxa"/>
          </w:tcPr>
          <w:p w14:paraId="27DED9C7" w14:textId="77777777" w:rsidR="00E84095" w:rsidRDefault="00E84095" w:rsidP="004839A1">
            <w:pPr>
              <w:rPr>
                <w:b/>
                <w:bCs/>
              </w:rPr>
            </w:pPr>
          </w:p>
          <w:p w14:paraId="06DB0E79" w14:textId="77777777" w:rsidR="00E84095" w:rsidRDefault="00E84095" w:rsidP="004839A1">
            <w:pPr>
              <w:rPr>
                <w:b/>
                <w:bCs/>
              </w:rPr>
            </w:pPr>
            <w:r w:rsidRPr="00B81DD7">
              <w:rPr>
                <w:b/>
                <w:bCs/>
              </w:rPr>
              <w:t xml:space="preserve">1. </w:t>
            </w:r>
          </w:p>
          <w:p w14:paraId="685C2B13" w14:textId="2B556A48" w:rsidR="00E84095" w:rsidRPr="00B81DD7" w:rsidRDefault="00E84095" w:rsidP="004839A1">
            <w:pPr>
              <w:rPr>
                <w:b/>
                <w:bCs/>
              </w:rPr>
            </w:pPr>
          </w:p>
        </w:tc>
        <w:tc>
          <w:tcPr>
            <w:tcW w:w="2932" w:type="dxa"/>
          </w:tcPr>
          <w:p w14:paraId="20F971FF" w14:textId="1AF2D12A" w:rsidR="00E84095" w:rsidRDefault="00E84095" w:rsidP="004839A1">
            <w:r>
              <w:t>Welcome and Introduction from the Chair</w:t>
            </w:r>
          </w:p>
        </w:tc>
        <w:tc>
          <w:tcPr>
            <w:tcW w:w="6633" w:type="dxa"/>
            <w:gridSpan w:val="2"/>
          </w:tcPr>
          <w:p w14:paraId="32ED568A" w14:textId="302C1B2D" w:rsidR="00E84095" w:rsidRDefault="004D7A52" w:rsidP="004839A1">
            <w:r>
              <w:t xml:space="preserve">The Chair/NCP </w:t>
            </w:r>
            <w:r w:rsidR="00CD5321">
              <w:t>opened the meeting and invited</w:t>
            </w:r>
            <w:r w:rsidR="003D7F98">
              <w:t xml:space="preserve"> members </w:t>
            </w:r>
            <w:r w:rsidR="00CD5321">
              <w:t xml:space="preserve">to </w:t>
            </w:r>
            <w:r w:rsidR="003D7F98">
              <w:t>introduce</w:t>
            </w:r>
            <w:r w:rsidR="00CD5321">
              <w:t xml:space="preserve">. </w:t>
            </w:r>
            <w:r w:rsidR="003D7F98">
              <w:t xml:space="preserve">themselves. </w:t>
            </w:r>
            <w:r w:rsidR="00CD5321">
              <w:t xml:space="preserve">Deloitte was welcomed to their first meeting. </w:t>
            </w:r>
            <w:r w:rsidR="003D7F98">
              <w:t xml:space="preserve">  </w:t>
            </w:r>
          </w:p>
        </w:tc>
      </w:tr>
      <w:tr w:rsidR="001C2F8F" w14:paraId="0E75183F" w14:textId="77777777" w:rsidTr="003759E7">
        <w:tc>
          <w:tcPr>
            <w:tcW w:w="891" w:type="dxa"/>
          </w:tcPr>
          <w:p w14:paraId="7B0AF2DA" w14:textId="52792D3B" w:rsidR="001C2F8F" w:rsidRDefault="001C2F8F" w:rsidP="004839A1">
            <w:pPr>
              <w:rPr>
                <w:b/>
                <w:bCs/>
              </w:rPr>
            </w:pPr>
            <w:r>
              <w:rPr>
                <w:b/>
                <w:bCs/>
              </w:rPr>
              <w:t>2.</w:t>
            </w:r>
          </w:p>
        </w:tc>
        <w:tc>
          <w:tcPr>
            <w:tcW w:w="2932" w:type="dxa"/>
          </w:tcPr>
          <w:p w14:paraId="68F729A9" w14:textId="46C39815" w:rsidR="001C2F8F" w:rsidRDefault="001C2F8F" w:rsidP="004839A1">
            <w:r>
              <w:t>Adoption of agenda</w:t>
            </w:r>
          </w:p>
        </w:tc>
        <w:tc>
          <w:tcPr>
            <w:tcW w:w="6633" w:type="dxa"/>
            <w:gridSpan w:val="2"/>
          </w:tcPr>
          <w:p w14:paraId="6E138775" w14:textId="08754B64" w:rsidR="001C2F8F" w:rsidRDefault="00167FDA" w:rsidP="004839A1">
            <w:r>
              <w:t>Agreed</w:t>
            </w:r>
            <w:r w:rsidR="003D7F98">
              <w:t>.</w:t>
            </w:r>
            <w:r>
              <w:t xml:space="preserve"> </w:t>
            </w:r>
            <w:r w:rsidR="003D7F98">
              <w:t xml:space="preserve"> </w:t>
            </w:r>
          </w:p>
        </w:tc>
      </w:tr>
      <w:tr w:rsidR="001C2F8F" w14:paraId="3E83BCE2" w14:textId="77777777" w:rsidTr="003759E7">
        <w:tc>
          <w:tcPr>
            <w:tcW w:w="891" w:type="dxa"/>
          </w:tcPr>
          <w:p w14:paraId="1C506DB0" w14:textId="4A315184" w:rsidR="001C2F8F" w:rsidRPr="00B81DD7" w:rsidRDefault="001C2F8F" w:rsidP="004839A1">
            <w:pPr>
              <w:rPr>
                <w:b/>
                <w:bCs/>
              </w:rPr>
            </w:pPr>
            <w:r>
              <w:rPr>
                <w:b/>
                <w:bCs/>
              </w:rPr>
              <w:t xml:space="preserve">3. </w:t>
            </w:r>
          </w:p>
        </w:tc>
        <w:tc>
          <w:tcPr>
            <w:tcW w:w="2932" w:type="dxa"/>
          </w:tcPr>
          <w:p w14:paraId="0B566387" w14:textId="23101A0C" w:rsidR="00CF760C" w:rsidRDefault="00CF760C" w:rsidP="00CF760C">
            <w:r>
              <w:t>Annual Report</w:t>
            </w:r>
          </w:p>
          <w:p w14:paraId="1D94725C" w14:textId="5C86E506" w:rsidR="001C2F8F" w:rsidRDefault="001C2F8F" w:rsidP="003D7F98"/>
        </w:tc>
        <w:tc>
          <w:tcPr>
            <w:tcW w:w="6633" w:type="dxa"/>
            <w:gridSpan w:val="2"/>
          </w:tcPr>
          <w:p w14:paraId="32BD8451" w14:textId="15A64F38" w:rsidR="00CF760C" w:rsidRDefault="00CF760C" w:rsidP="00CF760C">
            <w:r>
              <w:t xml:space="preserve">There were no comments on the Annual Report. </w:t>
            </w:r>
          </w:p>
          <w:p w14:paraId="548CBF12" w14:textId="26CF95B6" w:rsidR="001C2F8F" w:rsidRDefault="001C2F8F" w:rsidP="004839A1"/>
        </w:tc>
      </w:tr>
      <w:tr w:rsidR="00CF760C" w14:paraId="27E2C185" w14:textId="77777777" w:rsidTr="003759E7">
        <w:tc>
          <w:tcPr>
            <w:tcW w:w="891" w:type="dxa"/>
          </w:tcPr>
          <w:p w14:paraId="4BA77830" w14:textId="02F343AA" w:rsidR="00CF760C" w:rsidRDefault="00CF760C" w:rsidP="00CF760C">
            <w:pPr>
              <w:rPr>
                <w:b/>
                <w:bCs/>
              </w:rPr>
            </w:pPr>
            <w:r w:rsidRPr="13FE1865">
              <w:rPr>
                <w:b/>
                <w:bCs/>
              </w:rPr>
              <w:t>4.</w:t>
            </w:r>
          </w:p>
        </w:tc>
        <w:tc>
          <w:tcPr>
            <w:tcW w:w="2932" w:type="dxa"/>
          </w:tcPr>
          <w:p w14:paraId="55750646" w14:textId="77777777" w:rsidR="00CF760C" w:rsidRDefault="00CF760C" w:rsidP="00CF760C">
            <w:r>
              <w:t>Report back on the OECD meeting on the Working Party on Responsible Business Conduct, 24-27 June</w:t>
            </w:r>
          </w:p>
          <w:p w14:paraId="057E929C" w14:textId="77777777" w:rsidR="00CF760C" w:rsidRDefault="00CF760C" w:rsidP="00CF760C"/>
          <w:p w14:paraId="426691CC" w14:textId="63CB22B7" w:rsidR="00CF760C" w:rsidRDefault="00CF760C" w:rsidP="00CF760C">
            <w:r>
              <w:rPr>
                <w:i/>
                <w:iCs/>
              </w:rPr>
              <w:t>Included New Zealand reporting back to the OECD on implementation of the recommendations of the peer review.</w:t>
            </w:r>
          </w:p>
        </w:tc>
        <w:tc>
          <w:tcPr>
            <w:tcW w:w="6633" w:type="dxa"/>
            <w:gridSpan w:val="2"/>
          </w:tcPr>
          <w:p w14:paraId="28B2820B" w14:textId="32BCA899" w:rsidR="00CF760C" w:rsidRDefault="00CF760C" w:rsidP="00CF760C">
            <w:r>
              <w:t xml:space="preserve">The </w:t>
            </w:r>
            <w:r w:rsidR="004D7A52">
              <w:t>NCP</w:t>
            </w:r>
            <w:r>
              <w:t xml:space="preserve"> </w:t>
            </w:r>
            <w:r w:rsidR="004D7A52">
              <w:t xml:space="preserve">presented on recent participation at the OECD meeting of the Working Party on Responsible Business Conduct, which included a report </w:t>
            </w:r>
            <w:r w:rsidR="003759E7">
              <w:t xml:space="preserve">back </w:t>
            </w:r>
            <w:r w:rsidR="00167FDA">
              <w:t xml:space="preserve">on </w:t>
            </w:r>
            <w:r w:rsidR="003759E7">
              <w:t>New Zealand’s</w:t>
            </w:r>
            <w:r w:rsidR="00CD5321">
              <w:t xml:space="preserve"> i</w:t>
            </w:r>
            <w:r>
              <w:t>mplementation of recommendations made</w:t>
            </w:r>
            <w:r w:rsidR="00CD5321">
              <w:t xml:space="preserve"> </w:t>
            </w:r>
            <w:r w:rsidR="000B3D97">
              <w:t>since the OECD Peer Review of New Zealand’s NCP Secretariat. The NCP</w:t>
            </w:r>
            <w:r w:rsidR="00CD5321">
              <w:t xml:space="preserve"> noted </w:t>
            </w:r>
            <w:r w:rsidR="003759E7">
              <w:t>New Zealand’s</w:t>
            </w:r>
            <w:r w:rsidR="00CD5321">
              <w:t xml:space="preserve"> progress was well received and there was good engagement </w:t>
            </w:r>
            <w:r w:rsidR="000B3D97">
              <w:t xml:space="preserve">from other members enquiring about </w:t>
            </w:r>
            <w:r w:rsidR="00167FDA">
              <w:t xml:space="preserve">how the NCP measures its </w:t>
            </w:r>
            <w:r>
              <w:t xml:space="preserve">effectiveness, </w:t>
            </w:r>
            <w:r w:rsidR="00167FDA">
              <w:t xml:space="preserve">its </w:t>
            </w:r>
            <w:r>
              <w:t>engage</w:t>
            </w:r>
            <w:r w:rsidR="000B3D97">
              <w:t>ment</w:t>
            </w:r>
            <w:r>
              <w:t xml:space="preserve"> across government</w:t>
            </w:r>
            <w:r w:rsidR="00167FDA">
              <w:t xml:space="preserve"> on the OECD Guidelines for MNEs on Responsible Business Conduct</w:t>
            </w:r>
            <w:r>
              <w:t>,</w:t>
            </w:r>
            <w:r w:rsidR="009826C7">
              <w:t xml:space="preserve"> </w:t>
            </w:r>
            <w:r w:rsidR="003759E7">
              <w:t xml:space="preserve">and </w:t>
            </w:r>
            <w:r w:rsidR="00167FDA">
              <w:t xml:space="preserve">its </w:t>
            </w:r>
            <w:r>
              <w:t>communicat</w:t>
            </w:r>
            <w:r w:rsidR="000B3D97">
              <w:t>ion</w:t>
            </w:r>
            <w:r>
              <w:t xml:space="preserve"> with parties</w:t>
            </w:r>
            <w:r w:rsidR="009826C7">
              <w:t xml:space="preserve"> involved in complaints</w:t>
            </w:r>
            <w:r>
              <w:t xml:space="preserve"> and </w:t>
            </w:r>
            <w:r w:rsidR="00CD5321">
              <w:t>engage</w:t>
            </w:r>
            <w:r w:rsidR="000B3D97">
              <w:t>ment</w:t>
            </w:r>
            <w:r>
              <w:t xml:space="preserve"> with </w:t>
            </w:r>
            <w:r w:rsidR="000B3D97">
              <w:t>c</w:t>
            </w:r>
            <w:r>
              <w:t xml:space="preserve">ivil </w:t>
            </w:r>
            <w:r w:rsidR="000B3D97">
              <w:t>s</w:t>
            </w:r>
            <w:r>
              <w:t xml:space="preserve">ociety. </w:t>
            </w:r>
          </w:p>
          <w:p w14:paraId="63339EB6" w14:textId="77777777" w:rsidR="00CF760C" w:rsidRDefault="00CF760C" w:rsidP="00CF760C"/>
          <w:p w14:paraId="77489FCF" w14:textId="7950AB55" w:rsidR="00CF760C" w:rsidRDefault="000B3D97" w:rsidP="00CF760C">
            <w:r>
              <w:t>The NCP</w:t>
            </w:r>
            <w:r w:rsidR="00CF760C">
              <w:t xml:space="preserve"> </w:t>
            </w:r>
            <w:r w:rsidR="00CD5321">
              <w:t>provided</w:t>
            </w:r>
            <w:r w:rsidR="00CF760C">
              <w:t xml:space="preserve"> an update</w:t>
            </w:r>
            <w:r>
              <w:t xml:space="preserve"> </w:t>
            </w:r>
            <w:r w:rsidR="003759E7">
              <w:t>about the</w:t>
            </w:r>
            <w:r>
              <w:t xml:space="preserve"> OECD</w:t>
            </w:r>
            <w:r w:rsidR="003759E7">
              <w:t>’s</w:t>
            </w:r>
            <w:r w:rsidR="00CF760C">
              <w:t xml:space="preserve"> additional guidance </w:t>
            </w:r>
            <w:r w:rsidR="003759E7">
              <w:t>regarding the</w:t>
            </w:r>
            <w:r w:rsidR="00CF760C">
              <w:t xml:space="preserve"> definition of </w:t>
            </w:r>
            <w:r w:rsidR="00CD5321">
              <w:t>‘</w:t>
            </w:r>
            <w:r w:rsidR="00CF760C">
              <w:t>Multinational Enterprise</w:t>
            </w:r>
            <w:r w:rsidR="00CD5321">
              <w:t>’</w:t>
            </w:r>
            <w:r w:rsidR="003759E7">
              <w:t>,</w:t>
            </w:r>
            <w:r>
              <w:t xml:space="preserve"> </w:t>
            </w:r>
            <w:r w:rsidR="003759E7">
              <w:t xml:space="preserve">a </w:t>
            </w:r>
            <w:r>
              <w:t xml:space="preserve">forward action plan for the </w:t>
            </w:r>
            <w:r w:rsidR="003759E7">
              <w:t xml:space="preserve">OECD’s </w:t>
            </w:r>
            <w:r>
              <w:t xml:space="preserve">Centre for Responsible Business Conduct and </w:t>
            </w:r>
            <w:r w:rsidR="003759E7">
              <w:t xml:space="preserve">a </w:t>
            </w:r>
            <w:r>
              <w:t xml:space="preserve">proposed </w:t>
            </w:r>
            <w:r w:rsidR="00CF760C">
              <w:t xml:space="preserve">Inclusive Platform on Due Diligence which is under active consideration. </w:t>
            </w:r>
          </w:p>
          <w:p w14:paraId="3827C315" w14:textId="77777777" w:rsidR="00CF760C" w:rsidRDefault="00CF760C" w:rsidP="00CF760C"/>
          <w:p w14:paraId="4AD0A738" w14:textId="77777777" w:rsidR="00CF760C" w:rsidRDefault="00CF760C" w:rsidP="002523F8">
            <w:r w:rsidRPr="002523F8">
              <w:rPr>
                <w:b/>
                <w:bCs/>
              </w:rPr>
              <w:t>Action</w:t>
            </w:r>
            <w:r>
              <w:t xml:space="preserve">: </w:t>
            </w:r>
            <w:r w:rsidR="000B3D97">
              <w:t>NCP</w:t>
            </w:r>
            <w:r>
              <w:t xml:space="preserve"> Secretariat to send members the </w:t>
            </w:r>
            <w:r w:rsidR="00CD5321">
              <w:t>papers discussed</w:t>
            </w:r>
            <w:r>
              <w:t xml:space="preserve">. </w:t>
            </w:r>
          </w:p>
          <w:p w14:paraId="7DD743CC" w14:textId="7A036D1B" w:rsidR="009826C7" w:rsidRPr="00BF737E" w:rsidRDefault="009826C7" w:rsidP="002523F8"/>
        </w:tc>
      </w:tr>
      <w:tr w:rsidR="001C2F8F" w:rsidRPr="00E40E35" w14:paraId="4FBDEA9A" w14:textId="77777777" w:rsidTr="003759E7">
        <w:trPr>
          <w:gridAfter w:val="1"/>
          <w:wAfter w:w="80" w:type="dxa"/>
        </w:trPr>
        <w:tc>
          <w:tcPr>
            <w:tcW w:w="891" w:type="dxa"/>
          </w:tcPr>
          <w:p w14:paraId="7510309D" w14:textId="733959BB" w:rsidR="001C2F8F" w:rsidRPr="13FE1865" w:rsidRDefault="001C2F8F" w:rsidP="004839A1">
            <w:pPr>
              <w:rPr>
                <w:b/>
                <w:bCs/>
              </w:rPr>
            </w:pPr>
            <w:r>
              <w:rPr>
                <w:b/>
                <w:bCs/>
              </w:rPr>
              <w:t>5</w:t>
            </w:r>
            <w:r w:rsidRPr="13FE1865">
              <w:rPr>
                <w:b/>
                <w:bCs/>
              </w:rPr>
              <w:t xml:space="preserve">. </w:t>
            </w:r>
          </w:p>
        </w:tc>
        <w:tc>
          <w:tcPr>
            <w:tcW w:w="2932" w:type="dxa"/>
          </w:tcPr>
          <w:p w14:paraId="4AF05A4A" w14:textId="77777777" w:rsidR="002523F8" w:rsidRDefault="002523F8" w:rsidP="002523F8">
            <w:r>
              <w:t>Update to Rules of Procedure for handling complaints bought under the OECD Guidelines</w:t>
            </w:r>
          </w:p>
          <w:p w14:paraId="01C4A785" w14:textId="77777777" w:rsidR="002523F8" w:rsidRDefault="002523F8" w:rsidP="002523F8"/>
          <w:p w14:paraId="736B969B" w14:textId="705B5C99" w:rsidR="001C2F8F" w:rsidRPr="002523F8" w:rsidRDefault="002523F8" w:rsidP="002523F8">
            <w:r>
              <w:rPr>
                <w:i/>
                <w:iCs/>
              </w:rPr>
              <w:lastRenderedPageBreak/>
              <w:t>The OECD Secretariat has reviewed our existing rules of procedure and made several recommendations which New Zealand has incorporated. These rules of procedure are shortly to be published.</w:t>
            </w:r>
          </w:p>
        </w:tc>
        <w:tc>
          <w:tcPr>
            <w:tcW w:w="6553" w:type="dxa"/>
          </w:tcPr>
          <w:p w14:paraId="00A17B42" w14:textId="3C1E03BA" w:rsidR="002523F8" w:rsidRDefault="002523F8" w:rsidP="004839A1">
            <w:r>
              <w:lastRenderedPageBreak/>
              <w:t xml:space="preserve">The NCP provided the Liaison Group </w:t>
            </w:r>
            <w:r w:rsidR="009826C7">
              <w:t xml:space="preserve">with </w:t>
            </w:r>
            <w:r w:rsidR="000B3D97">
              <w:t>an updated</w:t>
            </w:r>
            <w:r>
              <w:t xml:space="preserve"> draft </w:t>
            </w:r>
            <w:r w:rsidR="000B3D97">
              <w:t xml:space="preserve">of the </w:t>
            </w:r>
            <w:r>
              <w:t>Rules of Procedure</w:t>
            </w:r>
            <w:r w:rsidR="000B3D97">
              <w:t xml:space="preserve"> and </w:t>
            </w:r>
            <w:r w:rsidR="00E701FE">
              <w:t xml:space="preserve">highlighted the </w:t>
            </w:r>
            <w:r>
              <w:t>substantive changes</w:t>
            </w:r>
            <w:r w:rsidR="00E701FE">
              <w:t>.</w:t>
            </w:r>
          </w:p>
          <w:p w14:paraId="45420540" w14:textId="77777777" w:rsidR="002523F8" w:rsidRDefault="002523F8" w:rsidP="004839A1"/>
          <w:p w14:paraId="6D00F999" w14:textId="77777777" w:rsidR="001C2F8F" w:rsidRDefault="002523F8" w:rsidP="002523F8">
            <w:r>
              <w:t xml:space="preserve">There were no comments on the </w:t>
            </w:r>
            <w:r w:rsidR="00CD5321">
              <w:t>u</w:t>
            </w:r>
            <w:r>
              <w:t>pdate to the Rules of Procedure</w:t>
            </w:r>
            <w:r w:rsidR="004F0942">
              <w:t>.</w:t>
            </w:r>
          </w:p>
          <w:p w14:paraId="5E91A6B3" w14:textId="77777777" w:rsidR="00E701FE" w:rsidRDefault="00E701FE" w:rsidP="002523F8"/>
          <w:p w14:paraId="11092B38" w14:textId="4E81DFBF" w:rsidR="00E701FE" w:rsidRPr="008D28DE" w:rsidRDefault="00E701FE" w:rsidP="002523F8">
            <w:r w:rsidRPr="002523F8">
              <w:rPr>
                <w:b/>
                <w:bCs/>
              </w:rPr>
              <w:lastRenderedPageBreak/>
              <w:t>Action</w:t>
            </w:r>
            <w:r>
              <w:t>: The finalised Rules of Procedure will be uploaded onto the NCP webpage of the MBIE website.</w:t>
            </w:r>
          </w:p>
        </w:tc>
      </w:tr>
      <w:tr w:rsidR="001C2F8F" w:rsidRPr="00FE0DA6" w14:paraId="4A94757F" w14:textId="77777777" w:rsidTr="003759E7">
        <w:trPr>
          <w:gridAfter w:val="1"/>
          <w:wAfter w:w="80" w:type="dxa"/>
        </w:trPr>
        <w:tc>
          <w:tcPr>
            <w:tcW w:w="891" w:type="dxa"/>
          </w:tcPr>
          <w:p w14:paraId="2AF9B6FE" w14:textId="4E3A26A8" w:rsidR="001C2F8F" w:rsidRDefault="001C2F8F" w:rsidP="004839A1">
            <w:pPr>
              <w:rPr>
                <w:b/>
                <w:bCs/>
              </w:rPr>
            </w:pPr>
            <w:r>
              <w:rPr>
                <w:b/>
                <w:bCs/>
              </w:rPr>
              <w:lastRenderedPageBreak/>
              <w:t>6.</w:t>
            </w:r>
          </w:p>
        </w:tc>
        <w:tc>
          <w:tcPr>
            <w:tcW w:w="2932" w:type="dxa"/>
          </w:tcPr>
          <w:p w14:paraId="0321AC3B" w14:textId="77777777" w:rsidR="002523F8" w:rsidRDefault="002523F8" w:rsidP="002523F8">
            <w:r>
              <w:t>Publication of outstanding specific instances</w:t>
            </w:r>
          </w:p>
          <w:p w14:paraId="3DD90E8D" w14:textId="77777777" w:rsidR="002523F8" w:rsidRDefault="002523F8" w:rsidP="002523F8">
            <w:pPr>
              <w:pStyle w:val="ListParagraph"/>
            </w:pPr>
          </w:p>
          <w:p w14:paraId="4319CE1A" w14:textId="4B101D21" w:rsidR="002523F8" w:rsidRDefault="002523F8" w:rsidP="002523F8">
            <w:r>
              <w:rPr>
                <w:i/>
                <w:iCs/>
              </w:rPr>
              <w:t>Upon reviewing files in early 2024, the National Contact Point Secretariat identified several specific instances relating to the Canterbury Earthquakes were yet to be published. Following consultation with parties, these will be published and sent to the OECD Secretariat mid-July.</w:t>
            </w:r>
          </w:p>
          <w:p w14:paraId="4DDA59D2" w14:textId="4F756A7E" w:rsidR="001C2F8F" w:rsidRDefault="001C2F8F" w:rsidP="00E84095"/>
        </w:tc>
        <w:tc>
          <w:tcPr>
            <w:tcW w:w="6553" w:type="dxa"/>
          </w:tcPr>
          <w:p w14:paraId="45DEB887" w14:textId="7F9D9C77" w:rsidR="0043351E" w:rsidRDefault="00E701FE" w:rsidP="002523F8">
            <w:r>
              <w:t xml:space="preserve">The NCP summarised the status of the outstanding specific instance cases which require publishing of final statements. </w:t>
            </w:r>
            <w:r w:rsidR="009826C7">
              <w:t>Following</w:t>
            </w:r>
            <w:r>
              <w:t xml:space="preserve"> consultation with the parties</w:t>
            </w:r>
            <w:r w:rsidR="009826C7">
              <w:t>,</w:t>
            </w:r>
            <w:r>
              <w:t xml:space="preserve"> these will be published on the NCP webpage of the MBIE website and copies sent to the OECD.  </w:t>
            </w:r>
            <w:r w:rsidR="00EE7AC3">
              <w:t xml:space="preserve">The </w:t>
            </w:r>
            <w:r>
              <w:t xml:space="preserve">NCP noted changes </w:t>
            </w:r>
            <w:r w:rsidR="009826C7">
              <w:t xml:space="preserve">that have been made </w:t>
            </w:r>
            <w:r>
              <w:t xml:space="preserve">to practices </w:t>
            </w:r>
            <w:r w:rsidR="003759E7">
              <w:t>supporting</w:t>
            </w:r>
            <w:r>
              <w:t xml:space="preserve"> greater transparency and timeliness in handling of specific instances</w:t>
            </w:r>
          </w:p>
          <w:p w14:paraId="7176E50C" w14:textId="77777777" w:rsidR="0043351E" w:rsidRDefault="0043351E" w:rsidP="002523F8"/>
          <w:p w14:paraId="6CAA4916" w14:textId="08D63FEE" w:rsidR="0066604D" w:rsidRDefault="0066604D" w:rsidP="002523F8">
            <w:r>
              <w:t xml:space="preserve">The Liaison Group </w:t>
            </w:r>
            <w:r w:rsidR="009826C7">
              <w:t>discussed</w:t>
            </w:r>
            <w:r>
              <w:t xml:space="preserve"> the range and number of past specific instances, </w:t>
            </w:r>
            <w:r w:rsidR="00562F89">
              <w:t xml:space="preserve">how clear the specific instance process is for complainants to understand what maybe/ may not be in scope of the Guidelines, and </w:t>
            </w:r>
            <w:r>
              <w:t xml:space="preserve">to what extent </w:t>
            </w:r>
            <w:r w:rsidR="009826C7">
              <w:t xml:space="preserve">more </w:t>
            </w:r>
            <w:r>
              <w:t xml:space="preserve">accessible promotional material could facilitate greater awareness of the OECD </w:t>
            </w:r>
            <w:r w:rsidR="009826C7">
              <w:t>G</w:t>
            </w:r>
            <w:r>
              <w:t xml:space="preserve">uidelines among civil society and business. It </w:t>
            </w:r>
            <w:r w:rsidR="009826C7">
              <w:t xml:space="preserve">generally agreed that there was a </w:t>
            </w:r>
            <w:r>
              <w:t xml:space="preserve">need for </w:t>
            </w:r>
            <w:r w:rsidR="009826C7">
              <w:t xml:space="preserve">more </w:t>
            </w:r>
            <w:r>
              <w:t>accessible and simplified summaries of the Guidelines.</w:t>
            </w:r>
          </w:p>
          <w:p w14:paraId="2DC2D40C" w14:textId="77777777" w:rsidR="00EE7AC3" w:rsidRDefault="00EE7AC3" w:rsidP="002523F8"/>
          <w:p w14:paraId="6BB1F51F" w14:textId="317E5483" w:rsidR="007F18F3" w:rsidRPr="00562F89" w:rsidRDefault="00152968" w:rsidP="007F18F3">
            <w:r>
              <w:rPr>
                <w:b/>
                <w:bCs/>
              </w:rPr>
              <w:t xml:space="preserve">Action: </w:t>
            </w:r>
            <w:r>
              <w:t xml:space="preserve">The </w:t>
            </w:r>
            <w:r w:rsidR="00562F89">
              <w:t>NCP</w:t>
            </w:r>
            <w:r>
              <w:t xml:space="preserve"> Secretariat will reach out </w:t>
            </w:r>
            <w:r w:rsidR="007F18F3">
              <w:t xml:space="preserve">individually </w:t>
            </w:r>
            <w:r>
              <w:t xml:space="preserve">to </w:t>
            </w:r>
            <w:r w:rsidR="00562F89">
              <w:t xml:space="preserve">Liaison Group </w:t>
            </w:r>
            <w:r>
              <w:t xml:space="preserve">members for insights </w:t>
            </w:r>
            <w:r w:rsidR="007F18F3">
              <w:t xml:space="preserve">on audience specific </w:t>
            </w:r>
            <w:r>
              <w:t>collateral</w:t>
            </w:r>
            <w:r w:rsidR="007F18F3">
              <w:t>.</w:t>
            </w:r>
          </w:p>
        </w:tc>
      </w:tr>
      <w:tr w:rsidR="001C2F8F" w14:paraId="610FC695" w14:textId="77777777" w:rsidTr="003759E7">
        <w:trPr>
          <w:gridAfter w:val="1"/>
          <w:wAfter w:w="80" w:type="dxa"/>
        </w:trPr>
        <w:tc>
          <w:tcPr>
            <w:tcW w:w="891" w:type="dxa"/>
          </w:tcPr>
          <w:p w14:paraId="2AB419B9" w14:textId="27E9DC71" w:rsidR="001C2F8F" w:rsidRDefault="001C2F8F" w:rsidP="004839A1">
            <w:pPr>
              <w:rPr>
                <w:b/>
                <w:bCs/>
              </w:rPr>
            </w:pPr>
            <w:r>
              <w:rPr>
                <w:b/>
                <w:bCs/>
              </w:rPr>
              <w:t>7</w:t>
            </w:r>
            <w:r w:rsidRPr="13FE1865">
              <w:rPr>
                <w:b/>
                <w:bCs/>
              </w:rPr>
              <w:t>.</w:t>
            </w:r>
          </w:p>
        </w:tc>
        <w:tc>
          <w:tcPr>
            <w:tcW w:w="2932" w:type="dxa"/>
          </w:tcPr>
          <w:p w14:paraId="78E7E6F9" w14:textId="77777777" w:rsidR="00861AF7" w:rsidRDefault="00861AF7" w:rsidP="00861AF7">
            <w:r>
              <w:t>Report back on Free Trade Agreement implementation and international trends</w:t>
            </w:r>
          </w:p>
          <w:p w14:paraId="7394D79D" w14:textId="77777777" w:rsidR="00861AF7" w:rsidRDefault="00861AF7" w:rsidP="00861AF7"/>
          <w:p w14:paraId="4AA48CCE" w14:textId="3020974D" w:rsidR="001C2F8F" w:rsidRDefault="00861AF7" w:rsidP="00861AF7">
            <w:r>
              <w:rPr>
                <w:i/>
                <w:iCs/>
              </w:rPr>
              <w:t>Responsible Business Conduct has been referenced in the UK/NZ and EU/NZ FTAs. Robbie will provide an update on progress of implementation of the FTAs and the opportunities they present for greater engagement with Responsible Business Conduct.</w:t>
            </w:r>
          </w:p>
        </w:tc>
        <w:tc>
          <w:tcPr>
            <w:tcW w:w="6553" w:type="dxa"/>
          </w:tcPr>
          <w:p w14:paraId="60324370" w14:textId="6D68C8EE" w:rsidR="001C2F8F" w:rsidRDefault="00562F89" w:rsidP="00861AF7">
            <w:r>
              <w:t>The NCP</w:t>
            </w:r>
            <w:r w:rsidR="00861AF7">
              <w:t xml:space="preserve"> presented a slide outlining international regulatory developments </w:t>
            </w:r>
            <w:r>
              <w:t xml:space="preserve">in other jurisdictions </w:t>
            </w:r>
            <w:r w:rsidR="00861AF7">
              <w:t xml:space="preserve">relating to </w:t>
            </w:r>
            <w:r w:rsidR="00423F5D">
              <w:t>r</w:t>
            </w:r>
            <w:r w:rsidR="00861AF7">
              <w:t xml:space="preserve">esponsible </w:t>
            </w:r>
            <w:r w:rsidR="00423F5D">
              <w:t>b</w:t>
            </w:r>
            <w:r w:rsidR="00861AF7">
              <w:t xml:space="preserve">usiness </w:t>
            </w:r>
            <w:r w:rsidR="00423F5D">
              <w:t>c</w:t>
            </w:r>
            <w:r w:rsidR="00861AF7">
              <w:t>onduct</w:t>
            </w:r>
            <w:r>
              <w:t xml:space="preserve">, such as in the areas of </w:t>
            </w:r>
            <w:r w:rsidR="00861AF7">
              <w:t>climate change, deforestation, modern slavery</w:t>
            </w:r>
            <w:r w:rsidR="003759E7">
              <w:t>,</w:t>
            </w:r>
            <w:r w:rsidR="00861AF7">
              <w:t xml:space="preserve"> and due diligence. These regulations are likely to </w:t>
            </w:r>
            <w:r w:rsidR="00423F5D">
              <w:t xml:space="preserve">have an </w:t>
            </w:r>
            <w:r w:rsidR="00861AF7">
              <w:t xml:space="preserve">impact on </w:t>
            </w:r>
            <w:r w:rsidR="00423F5D">
              <w:t>New Zealand businesses that need to comply with the</w:t>
            </w:r>
            <w:r w:rsidR="003759E7">
              <w:t>se</w:t>
            </w:r>
            <w:r w:rsidR="00423F5D">
              <w:t xml:space="preserve"> requirements as part of supplying goods or services into </w:t>
            </w:r>
            <w:r w:rsidR="003C4992">
              <w:t>the applicable</w:t>
            </w:r>
            <w:r w:rsidR="00423F5D">
              <w:t xml:space="preserve"> jurisdictions</w:t>
            </w:r>
            <w:r w:rsidR="00861AF7">
              <w:t>.</w:t>
            </w:r>
          </w:p>
          <w:p w14:paraId="2B04EE98" w14:textId="77777777" w:rsidR="00861AF7" w:rsidRDefault="00861AF7" w:rsidP="00861AF7"/>
          <w:p w14:paraId="39903942" w14:textId="1549AA15" w:rsidR="00861AF7" w:rsidRDefault="0050413F" w:rsidP="00861AF7">
            <w:r>
              <w:t>In addition to regulation, there are also non</w:t>
            </w:r>
            <w:r w:rsidR="003C4992">
              <w:t>-</w:t>
            </w:r>
            <w:r>
              <w:t>regulatory mechanisms that encourage greater</w:t>
            </w:r>
            <w:r w:rsidR="003C4992">
              <w:t xml:space="preserve"> responsible business conduct, such as </w:t>
            </w:r>
            <w:r w:rsidR="007F18F3">
              <w:t>t</w:t>
            </w:r>
            <w:r w:rsidR="00861AF7">
              <w:t>he OECD Guidelines</w:t>
            </w:r>
            <w:r w:rsidR="003C4992">
              <w:t>,</w:t>
            </w:r>
            <w:r w:rsidR="00861AF7">
              <w:t xml:space="preserve"> </w:t>
            </w:r>
            <w:r w:rsidR="003C4992">
              <w:t xml:space="preserve">which </w:t>
            </w:r>
            <w:r w:rsidR="00861AF7">
              <w:t xml:space="preserve">are a voluntary mechanism. New Zealand has incorporated reference to the Guidelines in Free Trade Agreements </w:t>
            </w:r>
            <w:r w:rsidR="003C4992">
              <w:t xml:space="preserve">(FTAs) </w:t>
            </w:r>
            <w:r w:rsidR="00861AF7">
              <w:t xml:space="preserve">which </w:t>
            </w:r>
            <w:r w:rsidR="007F18F3">
              <w:t xml:space="preserve">has </w:t>
            </w:r>
            <w:r w:rsidR="00861AF7">
              <w:t>create</w:t>
            </w:r>
            <w:r w:rsidR="007F18F3">
              <w:t>d a</w:t>
            </w:r>
            <w:r w:rsidR="00861AF7">
              <w:t xml:space="preserve"> useful </w:t>
            </w:r>
            <w:r w:rsidR="007F18F3">
              <w:t>lever for promotion.</w:t>
            </w:r>
            <w:r w:rsidR="00861AF7">
              <w:t xml:space="preserve"> </w:t>
            </w:r>
          </w:p>
          <w:p w14:paraId="12099DE5" w14:textId="77777777" w:rsidR="00861AF7" w:rsidRDefault="00861AF7" w:rsidP="00861AF7"/>
          <w:p w14:paraId="5C3C7FCD" w14:textId="076E4B23" w:rsidR="00861AF7" w:rsidRDefault="00FA5272" w:rsidP="00861AF7">
            <w:r>
              <w:t>MFAT</w:t>
            </w:r>
            <w:r w:rsidR="00861AF7">
              <w:t xml:space="preserve"> spoke to the </w:t>
            </w:r>
            <w:r w:rsidR="001401CC">
              <w:t xml:space="preserve">implementation of the FTAs including that New Zealand’s </w:t>
            </w:r>
            <w:r w:rsidR="00562F89">
              <w:t>NCP</w:t>
            </w:r>
            <w:r w:rsidR="001401CC">
              <w:t xml:space="preserve"> intends to have a </w:t>
            </w:r>
            <w:r w:rsidR="00562F89">
              <w:t xml:space="preserve">regular </w:t>
            </w:r>
            <w:r w:rsidR="001401CC">
              <w:t xml:space="preserve">dialogue with the UK </w:t>
            </w:r>
            <w:r w:rsidR="00562F89">
              <w:t>NCP</w:t>
            </w:r>
            <w:r w:rsidR="001401CC">
              <w:t xml:space="preserve">, and how the FTA can be used as a hook to have conversations about compliance and enforcement in the </w:t>
            </w:r>
            <w:r w:rsidR="007F18F3">
              <w:t xml:space="preserve">international </w:t>
            </w:r>
            <w:r w:rsidR="001401CC">
              <w:t xml:space="preserve">regulation space. </w:t>
            </w:r>
          </w:p>
          <w:p w14:paraId="62277579" w14:textId="77777777" w:rsidR="001401CC" w:rsidRDefault="001401CC" w:rsidP="00861AF7"/>
          <w:p w14:paraId="0FC1E4FA" w14:textId="749FA8F4" w:rsidR="001401CC" w:rsidRDefault="00FA5272" w:rsidP="00861AF7">
            <w:r>
              <w:t>MFAT</w:t>
            </w:r>
            <w:r w:rsidR="001401CC">
              <w:t xml:space="preserve"> discussed the move from voluntary compliance to mandatory compliance, particularly in the sustainability space. </w:t>
            </w:r>
            <w:r w:rsidR="007F18F3">
              <w:t>The</w:t>
            </w:r>
            <w:r w:rsidR="00562F89">
              <w:t xml:space="preserve"> Liaison Group </w:t>
            </w:r>
            <w:r w:rsidR="001401CC">
              <w:t xml:space="preserve">discussed the </w:t>
            </w:r>
            <w:r w:rsidR="003C4992">
              <w:t>benefits of a</w:t>
            </w:r>
            <w:r w:rsidR="001401CC">
              <w:t xml:space="preserve"> streamline</w:t>
            </w:r>
            <w:r w:rsidR="00642356">
              <w:t>d approach or mechanism to support NZ business to comply with overseas regulation</w:t>
            </w:r>
            <w:r w:rsidR="003C4992">
              <w:t>, such as through</w:t>
            </w:r>
            <w:r w:rsidR="00642356">
              <w:t xml:space="preserve"> mutual recognition</w:t>
            </w:r>
            <w:r w:rsidR="003C4992">
              <w:t>.</w:t>
            </w:r>
          </w:p>
          <w:p w14:paraId="1C39901E" w14:textId="77777777" w:rsidR="007F18F3" w:rsidRDefault="007F18F3" w:rsidP="00861AF7"/>
          <w:p w14:paraId="0961742C" w14:textId="1E4AAB1E" w:rsidR="001401CC" w:rsidRDefault="001401CC" w:rsidP="00861AF7">
            <w:r>
              <w:t>In addition</w:t>
            </w:r>
            <w:r w:rsidR="007F18F3">
              <w:t>, the Liaison Group discussed</w:t>
            </w:r>
            <w:r>
              <w:t xml:space="preserve">: </w:t>
            </w:r>
          </w:p>
          <w:p w14:paraId="65DA8B57" w14:textId="5427AB87" w:rsidR="001401CC" w:rsidRDefault="001401CC" w:rsidP="001401CC">
            <w:pPr>
              <w:pStyle w:val="ListParagraph"/>
              <w:numPr>
                <w:ilvl w:val="0"/>
                <w:numId w:val="8"/>
              </w:numPr>
            </w:pPr>
            <w:r>
              <w:t>What the FTA means for the ratification of various ILO conventions.</w:t>
            </w:r>
          </w:p>
          <w:p w14:paraId="57FC3D31" w14:textId="2CD2DD12" w:rsidR="001401CC" w:rsidRDefault="001401CC" w:rsidP="001401CC">
            <w:pPr>
              <w:pStyle w:val="ListParagraph"/>
              <w:numPr>
                <w:ilvl w:val="0"/>
                <w:numId w:val="8"/>
              </w:numPr>
            </w:pPr>
            <w:r>
              <w:t xml:space="preserve">How the business community is already being subjected to </w:t>
            </w:r>
            <w:r w:rsidR="007F18F3">
              <w:t>Environmental, Social and Governance</w:t>
            </w:r>
            <w:r>
              <w:t xml:space="preserve"> standards.</w:t>
            </w:r>
          </w:p>
          <w:p w14:paraId="0205D85D" w14:textId="3D722C3F" w:rsidR="001401CC" w:rsidRDefault="00156C94" w:rsidP="001401CC">
            <w:pPr>
              <w:pStyle w:val="ListParagraph"/>
              <w:numPr>
                <w:ilvl w:val="0"/>
                <w:numId w:val="8"/>
              </w:numPr>
            </w:pPr>
            <w:r>
              <w:lastRenderedPageBreak/>
              <w:t xml:space="preserve">How the OECD is proposing to support mutual recognition through the Guidelines, and </w:t>
            </w:r>
            <w:r w:rsidR="007F18F3">
              <w:t>research the</w:t>
            </w:r>
            <w:r>
              <w:t xml:space="preserve"> commonalities and </w:t>
            </w:r>
            <w:r w:rsidR="003C4992">
              <w:t>inter</w:t>
            </w:r>
            <w:r>
              <w:t xml:space="preserve">operability of different </w:t>
            </w:r>
            <w:r w:rsidR="007F18F3">
              <w:t>international regulations</w:t>
            </w:r>
            <w:r>
              <w:t>.</w:t>
            </w:r>
          </w:p>
          <w:p w14:paraId="03AB602A" w14:textId="77777777" w:rsidR="00156C94" w:rsidRDefault="00156C94" w:rsidP="00156C94"/>
          <w:p w14:paraId="79214925" w14:textId="62785E6B" w:rsidR="00156C94" w:rsidRDefault="00156C94" w:rsidP="00156C94">
            <w:r>
              <w:t xml:space="preserve">It was recognised that the </w:t>
            </w:r>
            <w:r w:rsidR="00642356">
              <w:t>NCP</w:t>
            </w:r>
            <w:r>
              <w:t xml:space="preserve"> </w:t>
            </w:r>
            <w:r w:rsidR="007F18F3">
              <w:t>is</w:t>
            </w:r>
            <w:r>
              <w:t xml:space="preserve"> an important driver in this space </w:t>
            </w:r>
            <w:r w:rsidR="00642356">
              <w:t xml:space="preserve">and the usefulness of the </w:t>
            </w:r>
            <w:r w:rsidR="00010A8D">
              <w:t>OECD NCP network</w:t>
            </w:r>
            <w:r w:rsidR="003C4992">
              <w:t xml:space="preserve"> for discussing policy considerations</w:t>
            </w:r>
            <w:r>
              <w:t>.</w:t>
            </w:r>
          </w:p>
          <w:p w14:paraId="5A4B934A" w14:textId="3E32F70B" w:rsidR="00156C94" w:rsidRDefault="00156C94" w:rsidP="00156C94"/>
        </w:tc>
      </w:tr>
      <w:tr w:rsidR="001C2F8F" w14:paraId="518642D9" w14:textId="77777777" w:rsidTr="003759E7">
        <w:trPr>
          <w:gridAfter w:val="1"/>
          <w:wAfter w:w="80" w:type="dxa"/>
        </w:trPr>
        <w:tc>
          <w:tcPr>
            <w:tcW w:w="891" w:type="dxa"/>
          </w:tcPr>
          <w:p w14:paraId="268846A2" w14:textId="7DBE19EB" w:rsidR="001C2F8F" w:rsidRDefault="001C2F8F" w:rsidP="004839A1">
            <w:pPr>
              <w:rPr>
                <w:b/>
                <w:bCs/>
              </w:rPr>
            </w:pPr>
            <w:r>
              <w:rPr>
                <w:b/>
                <w:bCs/>
              </w:rPr>
              <w:lastRenderedPageBreak/>
              <w:t>8</w:t>
            </w:r>
            <w:r w:rsidRPr="13FE1865">
              <w:rPr>
                <w:b/>
                <w:bCs/>
              </w:rPr>
              <w:t>.</w:t>
            </w:r>
          </w:p>
        </w:tc>
        <w:tc>
          <w:tcPr>
            <w:tcW w:w="2932" w:type="dxa"/>
          </w:tcPr>
          <w:p w14:paraId="2CDF9500" w14:textId="77777777" w:rsidR="00156C94" w:rsidRDefault="00156C94" w:rsidP="00156C94">
            <w:r>
              <w:t>Promotional opportunities</w:t>
            </w:r>
          </w:p>
          <w:p w14:paraId="1863FEDA" w14:textId="77777777" w:rsidR="00156C94" w:rsidRDefault="00156C94" w:rsidP="00156C94">
            <w:pPr>
              <w:rPr>
                <w:i/>
                <w:iCs/>
              </w:rPr>
            </w:pPr>
          </w:p>
          <w:p w14:paraId="0042D568" w14:textId="4F34A4DC" w:rsidR="001C2F8F" w:rsidRDefault="00156C94" w:rsidP="00156C94">
            <w:r>
              <w:rPr>
                <w:i/>
                <w:iCs/>
              </w:rPr>
              <w:t>Members are invited to share any upcoming events that may be happening within their organisation. The NCP is interested to learn if there is collateral or links to our webpage, for example. that could be useful that we could provide/develop.</w:t>
            </w:r>
          </w:p>
        </w:tc>
        <w:tc>
          <w:tcPr>
            <w:tcW w:w="6553" w:type="dxa"/>
          </w:tcPr>
          <w:p w14:paraId="2A2C1467" w14:textId="4F13F4E8" w:rsidR="00156C94" w:rsidRDefault="00010A8D" w:rsidP="004839A1">
            <w:r>
              <w:t>Liaison Group members were invited to share</w:t>
            </w:r>
            <w:r w:rsidR="003C4992">
              <w:t>,</w:t>
            </w:r>
            <w:r>
              <w:t xml:space="preserve"> either at or following the meeting</w:t>
            </w:r>
            <w:r w:rsidR="003C4992">
              <w:t>,</w:t>
            </w:r>
            <w:r>
              <w:t xml:space="preserve"> any promotional work related to responsible business conduct/ESGs. </w:t>
            </w:r>
          </w:p>
          <w:p w14:paraId="3700D7C6" w14:textId="77777777" w:rsidR="00156C94" w:rsidRDefault="00156C94" w:rsidP="004839A1"/>
          <w:p w14:paraId="3B1AE369" w14:textId="3C03B0DB" w:rsidR="00156C94" w:rsidRDefault="00156C94" w:rsidP="004839A1">
            <w:r>
              <w:t xml:space="preserve">Members emphasised the need for the </w:t>
            </w:r>
            <w:r w:rsidR="00010A8D">
              <w:t>NCP</w:t>
            </w:r>
            <w:r>
              <w:t xml:space="preserve"> to understand the </w:t>
            </w:r>
            <w:r w:rsidR="003C4992">
              <w:t xml:space="preserve">different types of </w:t>
            </w:r>
            <w:r>
              <w:t>stakeholder</w:t>
            </w:r>
            <w:r w:rsidR="003C4992">
              <w:t>s</w:t>
            </w:r>
            <w:r>
              <w:t xml:space="preserve"> when developing collateral.</w:t>
            </w:r>
          </w:p>
          <w:p w14:paraId="52BC01D4" w14:textId="77777777" w:rsidR="00156C94" w:rsidRDefault="00156C94" w:rsidP="004839A1"/>
          <w:p w14:paraId="5331E821" w14:textId="6E193E31" w:rsidR="001C2F8F" w:rsidRDefault="00156C94" w:rsidP="004839A1">
            <w:r>
              <w:rPr>
                <w:b/>
                <w:bCs/>
              </w:rPr>
              <w:t xml:space="preserve">Action: </w:t>
            </w:r>
            <w:r>
              <w:t xml:space="preserve">The </w:t>
            </w:r>
            <w:r w:rsidR="003C4992">
              <w:t>NCP secretariat will</w:t>
            </w:r>
            <w:r>
              <w:t xml:space="preserve"> set up meetings with individual members to discuss</w:t>
            </w:r>
            <w:r w:rsidR="004F0942">
              <w:t xml:space="preserve"> promotional</w:t>
            </w:r>
            <w:r>
              <w:t xml:space="preserve"> opportunities. </w:t>
            </w:r>
          </w:p>
          <w:p w14:paraId="550A8EB1" w14:textId="1DAE4E57" w:rsidR="001C2F8F" w:rsidRDefault="001C2F8F" w:rsidP="004839A1"/>
        </w:tc>
      </w:tr>
      <w:tr w:rsidR="00156C94" w14:paraId="78ADEDB9" w14:textId="77777777" w:rsidTr="003759E7">
        <w:trPr>
          <w:gridAfter w:val="1"/>
          <w:wAfter w:w="80" w:type="dxa"/>
        </w:trPr>
        <w:tc>
          <w:tcPr>
            <w:tcW w:w="891" w:type="dxa"/>
          </w:tcPr>
          <w:p w14:paraId="77517F56" w14:textId="7F619DD6" w:rsidR="00156C94" w:rsidRDefault="00156C94" w:rsidP="004839A1">
            <w:pPr>
              <w:rPr>
                <w:b/>
                <w:bCs/>
              </w:rPr>
            </w:pPr>
            <w:r>
              <w:rPr>
                <w:b/>
                <w:bCs/>
              </w:rPr>
              <w:t>9.</w:t>
            </w:r>
          </w:p>
        </w:tc>
        <w:tc>
          <w:tcPr>
            <w:tcW w:w="2932" w:type="dxa"/>
          </w:tcPr>
          <w:p w14:paraId="2B3A1119" w14:textId="77777777" w:rsidR="00156C94" w:rsidRDefault="00156C94" w:rsidP="00156C94">
            <w:r>
              <w:t>Expansion of Liaison Group membership to Civil Society</w:t>
            </w:r>
          </w:p>
          <w:p w14:paraId="6DAEB3F0" w14:textId="77777777" w:rsidR="00156C94" w:rsidRDefault="00156C94" w:rsidP="00156C94"/>
          <w:p w14:paraId="0C8EFA62" w14:textId="6239DF71" w:rsidR="00156C94" w:rsidRDefault="00156C94" w:rsidP="00156C94">
            <w:r>
              <w:rPr>
                <w:i/>
                <w:iCs/>
              </w:rPr>
              <w:t>Members are encouraged to offer suggestions for membership.</w:t>
            </w:r>
          </w:p>
        </w:tc>
        <w:tc>
          <w:tcPr>
            <w:tcW w:w="6553" w:type="dxa"/>
          </w:tcPr>
          <w:p w14:paraId="10EBFAD7" w14:textId="47FCC12B" w:rsidR="00CC0551" w:rsidRDefault="00010A8D" w:rsidP="004839A1">
            <w:r>
              <w:t xml:space="preserve">Liaison Group members were invited to share ideas for representation from civil society. It was agreed that the </w:t>
            </w:r>
            <w:r w:rsidR="00CC0551">
              <w:t xml:space="preserve">secretariat </w:t>
            </w:r>
            <w:r>
              <w:t>consider what type of sectors or areas (</w:t>
            </w:r>
            <w:proofErr w:type="spellStart"/>
            <w:r>
              <w:t>eg</w:t>
            </w:r>
            <w:proofErr w:type="spellEnd"/>
            <w:r>
              <w:t xml:space="preserve"> </w:t>
            </w:r>
            <w:r w:rsidR="009F2349">
              <w:t>aligned with the chapters of the Guidelines) and then share those with the members to help inform potential groups to approach.</w:t>
            </w:r>
            <w:r w:rsidR="00CC0551">
              <w:t xml:space="preserve"> </w:t>
            </w:r>
          </w:p>
          <w:p w14:paraId="2AABC043" w14:textId="77777777" w:rsidR="00CC0551" w:rsidRDefault="00CC0551" w:rsidP="004839A1"/>
          <w:p w14:paraId="64284A0E" w14:textId="77F0B5F2" w:rsidR="00CC0551" w:rsidRPr="00CC0551" w:rsidRDefault="00CC0551" w:rsidP="004839A1">
            <w:r>
              <w:rPr>
                <w:b/>
                <w:bCs/>
              </w:rPr>
              <w:t>Action</w:t>
            </w:r>
            <w:r>
              <w:t xml:space="preserve">: The </w:t>
            </w:r>
            <w:r w:rsidR="00EE29BE">
              <w:t>NCP</w:t>
            </w:r>
            <w:r>
              <w:t xml:space="preserve"> Secretariat will scope out possible </w:t>
            </w:r>
            <w:r w:rsidR="00EE29BE">
              <w:t>areas for civil society representation and follow up with members for additional suggestions</w:t>
            </w:r>
            <w:r>
              <w:t xml:space="preserve">. </w:t>
            </w:r>
          </w:p>
        </w:tc>
      </w:tr>
      <w:tr w:rsidR="00CC0551" w14:paraId="18568095" w14:textId="77777777" w:rsidTr="003759E7">
        <w:trPr>
          <w:gridAfter w:val="1"/>
          <w:wAfter w:w="80" w:type="dxa"/>
        </w:trPr>
        <w:tc>
          <w:tcPr>
            <w:tcW w:w="891" w:type="dxa"/>
          </w:tcPr>
          <w:p w14:paraId="5486F7CB" w14:textId="4A164590" w:rsidR="00CC0551" w:rsidRDefault="00CC0551" w:rsidP="004839A1">
            <w:pPr>
              <w:rPr>
                <w:b/>
                <w:bCs/>
              </w:rPr>
            </w:pPr>
            <w:r>
              <w:rPr>
                <w:b/>
                <w:bCs/>
              </w:rPr>
              <w:t>10.</w:t>
            </w:r>
          </w:p>
        </w:tc>
        <w:tc>
          <w:tcPr>
            <w:tcW w:w="2932" w:type="dxa"/>
          </w:tcPr>
          <w:p w14:paraId="3B4DBC19" w14:textId="00CD7343" w:rsidR="00CC0551" w:rsidRPr="00CC0551" w:rsidRDefault="00CC0551" w:rsidP="00CC0551">
            <w:r>
              <w:t>Any other business</w:t>
            </w:r>
          </w:p>
          <w:p w14:paraId="58DD1530" w14:textId="3035D3FD" w:rsidR="00CC0551" w:rsidRDefault="00CC0551" w:rsidP="00CC0551">
            <w:r w:rsidRPr="00CC0551">
              <w:rPr>
                <w:i/>
                <w:iCs/>
              </w:rPr>
              <w:t>OECD Watch review</w:t>
            </w:r>
          </w:p>
        </w:tc>
        <w:tc>
          <w:tcPr>
            <w:tcW w:w="6553" w:type="dxa"/>
          </w:tcPr>
          <w:p w14:paraId="7F6B1124" w14:textId="218E4E29" w:rsidR="00CC0551" w:rsidRDefault="00CC0551" w:rsidP="004839A1">
            <w:r>
              <w:t>OECD Watch will b</w:t>
            </w:r>
            <w:r w:rsidR="00EE29BE">
              <w:t>e sending a questionnaire to all NCPs with the view to drafting a report NCP performance for submitting to the next meeting of the Working Party on Responsible Business Conduct.</w:t>
            </w:r>
          </w:p>
          <w:p w14:paraId="6E65084D" w14:textId="77777777" w:rsidR="00CC0551" w:rsidRDefault="00CC0551" w:rsidP="004839A1"/>
          <w:p w14:paraId="3482C89A" w14:textId="7080E15D" w:rsidR="00CC0551" w:rsidRDefault="00EE29BE" w:rsidP="004839A1">
            <w:r>
              <w:t xml:space="preserve">The Ministry of Justice provided an update on </w:t>
            </w:r>
            <w:r w:rsidR="009A001A">
              <w:t xml:space="preserve">the current review by the OECD on progress that New Zealand is making on implementing and enforcing the OECD </w:t>
            </w:r>
            <w:r w:rsidR="005C5A3E" w:rsidRPr="005C5A3E">
              <w:t>Anti-Bribery Convention</w:t>
            </w:r>
            <w:r w:rsidR="005C5A3E">
              <w:t xml:space="preserve">. </w:t>
            </w:r>
          </w:p>
        </w:tc>
      </w:tr>
    </w:tbl>
    <w:p w14:paraId="3B82122F" w14:textId="77777777" w:rsidR="007C0575" w:rsidRPr="007C0575" w:rsidRDefault="007C0575" w:rsidP="007C0575"/>
    <w:sectPr w:rsidR="007C0575" w:rsidRPr="007C0575" w:rsidSect="000E31A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9FA92" w14:textId="77777777" w:rsidR="000D4A69" w:rsidRDefault="000D4A69" w:rsidP="00C83C9F">
      <w:pPr>
        <w:spacing w:after="0" w:line="240" w:lineRule="auto"/>
      </w:pPr>
      <w:r>
        <w:separator/>
      </w:r>
    </w:p>
  </w:endnote>
  <w:endnote w:type="continuationSeparator" w:id="0">
    <w:p w14:paraId="7BCBBC9D" w14:textId="77777777" w:rsidR="000D4A69" w:rsidRDefault="000D4A69" w:rsidP="00C8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FD8E" w14:textId="77777777" w:rsidR="005C5A3E" w:rsidRDefault="005C5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594E" w14:textId="77777777" w:rsidR="005C5A3E" w:rsidRDefault="005C5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A968" w14:textId="77777777" w:rsidR="005C5A3E" w:rsidRDefault="005C5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7629" w14:textId="77777777" w:rsidR="000D4A69" w:rsidRDefault="000D4A69" w:rsidP="00C83C9F">
      <w:pPr>
        <w:spacing w:after="0" w:line="240" w:lineRule="auto"/>
      </w:pPr>
      <w:r>
        <w:separator/>
      </w:r>
    </w:p>
  </w:footnote>
  <w:footnote w:type="continuationSeparator" w:id="0">
    <w:p w14:paraId="6D80B745" w14:textId="77777777" w:rsidR="000D4A69" w:rsidRDefault="000D4A69" w:rsidP="00C8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A817" w14:textId="77777777" w:rsidR="005C5A3E" w:rsidRDefault="005C5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CB8F" w14:textId="3F9EC9A3" w:rsidR="005C5A3E" w:rsidRDefault="005C5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BEA9" w14:textId="77777777" w:rsidR="005C5A3E" w:rsidRDefault="005C5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1A49"/>
    <w:multiLevelType w:val="hybridMultilevel"/>
    <w:tmpl w:val="2B12A9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C805B6"/>
    <w:multiLevelType w:val="hybridMultilevel"/>
    <w:tmpl w:val="27344E24"/>
    <w:lvl w:ilvl="0" w:tplc="4ED4906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E6F6708"/>
    <w:multiLevelType w:val="hybridMultilevel"/>
    <w:tmpl w:val="D632E5E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FE74FB2"/>
    <w:multiLevelType w:val="hybridMultilevel"/>
    <w:tmpl w:val="F288D132"/>
    <w:lvl w:ilvl="0" w:tplc="D1DA5750">
      <w:start w:val="7"/>
      <w:numFmt w:val="bullet"/>
      <w:lvlText w:val="-"/>
      <w:lvlJc w:val="left"/>
      <w:pPr>
        <w:ind w:left="720" w:hanging="360"/>
      </w:pPr>
      <w:rPr>
        <w:rFonts w:ascii="Calibri" w:eastAsiaTheme="minorHAnsi" w:hAnsi="Calibri" w:cs="Calibri" w:hint="default"/>
        <w:i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C57E51"/>
    <w:multiLevelType w:val="hybridMultilevel"/>
    <w:tmpl w:val="7112440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8720FD1"/>
    <w:multiLevelType w:val="hybridMultilevel"/>
    <w:tmpl w:val="DCCAE1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75B57E8"/>
    <w:multiLevelType w:val="hybridMultilevel"/>
    <w:tmpl w:val="CBF65364"/>
    <w:lvl w:ilvl="0" w:tplc="A826376E">
      <w:start w:val="3"/>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E2C4C8F"/>
    <w:multiLevelType w:val="hybridMultilevel"/>
    <w:tmpl w:val="5B2E860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5AA5A47"/>
    <w:multiLevelType w:val="hybridMultilevel"/>
    <w:tmpl w:val="5AD8802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000189952">
    <w:abstractNumId w:val="7"/>
  </w:num>
  <w:num w:numId="2" w16cid:durableId="360010176">
    <w:abstractNumId w:val="2"/>
  </w:num>
  <w:num w:numId="3" w16cid:durableId="227150041">
    <w:abstractNumId w:val="8"/>
  </w:num>
  <w:num w:numId="4" w16cid:durableId="362946943">
    <w:abstractNumId w:val="4"/>
  </w:num>
  <w:num w:numId="5" w16cid:durableId="1098405626">
    <w:abstractNumId w:val="0"/>
  </w:num>
  <w:num w:numId="6" w16cid:durableId="1827628309">
    <w:abstractNumId w:val="1"/>
  </w:num>
  <w:num w:numId="7" w16cid:durableId="1406107342">
    <w:abstractNumId w:val="3"/>
  </w:num>
  <w:num w:numId="8" w16cid:durableId="602497736">
    <w:abstractNumId w:val="6"/>
  </w:num>
  <w:num w:numId="9" w16cid:durableId="830028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74"/>
    <w:rsid w:val="00010A8D"/>
    <w:rsid w:val="000145F5"/>
    <w:rsid w:val="000223D0"/>
    <w:rsid w:val="000304BB"/>
    <w:rsid w:val="0009133F"/>
    <w:rsid w:val="000B3D97"/>
    <w:rsid w:val="000D4A69"/>
    <w:rsid w:val="000D74D9"/>
    <w:rsid w:val="000E31A4"/>
    <w:rsid w:val="00120033"/>
    <w:rsid w:val="001254A5"/>
    <w:rsid w:val="001401CC"/>
    <w:rsid w:val="001472C5"/>
    <w:rsid w:val="00152968"/>
    <w:rsid w:val="00153415"/>
    <w:rsid w:val="00156C94"/>
    <w:rsid w:val="00167FDA"/>
    <w:rsid w:val="001A039F"/>
    <w:rsid w:val="001C1F3E"/>
    <w:rsid w:val="001C2F8F"/>
    <w:rsid w:val="001D0E2A"/>
    <w:rsid w:val="001D421F"/>
    <w:rsid w:val="001E31DF"/>
    <w:rsid w:val="001E7847"/>
    <w:rsid w:val="002346AA"/>
    <w:rsid w:val="002523F8"/>
    <w:rsid w:val="002A7074"/>
    <w:rsid w:val="003759E7"/>
    <w:rsid w:val="003C4992"/>
    <w:rsid w:val="003C4C49"/>
    <w:rsid w:val="003D2BF1"/>
    <w:rsid w:val="003D7F98"/>
    <w:rsid w:val="003F6206"/>
    <w:rsid w:val="004077D9"/>
    <w:rsid w:val="00423F5D"/>
    <w:rsid w:val="0043351E"/>
    <w:rsid w:val="00434ADC"/>
    <w:rsid w:val="00454BB7"/>
    <w:rsid w:val="004730C1"/>
    <w:rsid w:val="0048180F"/>
    <w:rsid w:val="004839A1"/>
    <w:rsid w:val="00484AA1"/>
    <w:rsid w:val="004A3767"/>
    <w:rsid w:val="004D7A52"/>
    <w:rsid w:val="004E6DF0"/>
    <w:rsid w:val="004F0942"/>
    <w:rsid w:val="004F2279"/>
    <w:rsid w:val="004F519B"/>
    <w:rsid w:val="0050413F"/>
    <w:rsid w:val="005108A1"/>
    <w:rsid w:val="00534E4B"/>
    <w:rsid w:val="00560C25"/>
    <w:rsid w:val="00562F89"/>
    <w:rsid w:val="00566A58"/>
    <w:rsid w:val="00593508"/>
    <w:rsid w:val="00594E84"/>
    <w:rsid w:val="005C5A3E"/>
    <w:rsid w:val="00626106"/>
    <w:rsid w:val="0063062C"/>
    <w:rsid w:val="00642356"/>
    <w:rsid w:val="00643126"/>
    <w:rsid w:val="00643C04"/>
    <w:rsid w:val="00644D0F"/>
    <w:rsid w:val="0066604D"/>
    <w:rsid w:val="0070198F"/>
    <w:rsid w:val="0070588F"/>
    <w:rsid w:val="007074FA"/>
    <w:rsid w:val="00726E67"/>
    <w:rsid w:val="00762530"/>
    <w:rsid w:val="007C0575"/>
    <w:rsid w:val="007F18F3"/>
    <w:rsid w:val="0080038E"/>
    <w:rsid w:val="0080260B"/>
    <w:rsid w:val="00833B5A"/>
    <w:rsid w:val="008512AD"/>
    <w:rsid w:val="00856182"/>
    <w:rsid w:val="00861AF7"/>
    <w:rsid w:val="00885BB8"/>
    <w:rsid w:val="008954EF"/>
    <w:rsid w:val="008D28DE"/>
    <w:rsid w:val="008F0A61"/>
    <w:rsid w:val="00914E7A"/>
    <w:rsid w:val="00937B42"/>
    <w:rsid w:val="0095724B"/>
    <w:rsid w:val="009826C7"/>
    <w:rsid w:val="00986800"/>
    <w:rsid w:val="009A001A"/>
    <w:rsid w:val="009B74F0"/>
    <w:rsid w:val="009E1CD5"/>
    <w:rsid w:val="009F2349"/>
    <w:rsid w:val="009F724E"/>
    <w:rsid w:val="00A10777"/>
    <w:rsid w:val="00AB7C9B"/>
    <w:rsid w:val="00AF404F"/>
    <w:rsid w:val="00B057D0"/>
    <w:rsid w:val="00B33EDE"/>
    <w:rsid w:val="00B40C4F"/>
    <w:rsid w:val="00B81DD7"/>
    <w:rsid w:val="00B924F5"/>
    <w:rsid w:val="00BA27FE"/>
    <w:rsid w:val="00BC3C38"/>
    <w:rsid w:val="00BF1C49"/>
    <w:rsid w:val="00BF737E"/>
    <w:rsid w:val="00C274D8"/>
    <w:rsid w:val="00C4353E"/>
    <w:rsid w:val="00C83C9F"/>
    <w:rsid w:val="00CC0551"/>
    <w:rsid w:val="00CD5321"/>
    <w:rsid w:val="00CF3094"/>
    <w:rsid w:val="00CF760C"/>
    <w:rsid w:val="00D16F83"/>
    <w:rsid w:val="00D31755"/>
    <w:rsid w:val="00D62420"/>
    <w:rsid w:val="00E40E35"/>
    <w:rsid w:val="00E701FE"/>
    <w:rsid w:val="00E84095"/>
    <w:rsid w:val="00E9777E"/>
    <w:rsid w:val="00EE29BE"/>
    <w:rsid w:val="00EE7AC3"/>
    <w:rsid w:val="00EF55A6"/>
    <w:rsid w:val="00F133C6"/>
    <w:rsid w:val="00F72002"/>
    <w:rsid w:val="00FA5272"/>
    <w:rsid w:val="00FE0DA6"/>
    <w:rsid w:val="00FE7165"/>
    <w:rsid w:val="00FE7E98"/>
    <w:rsid w:val="13FE18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DE6C3"/>
  <w15:docId w15:val="{80BF7586-DAFD-4DF3-9654-8696874C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074"/>
    <w:pPr>
      <w:ind w:left="720"/>
      <w:contextualSpacing/>
    </w:pPr>
  </w:style>
  <w:style w:type="table" w:styleId="TableGrid">
    <w:name w:val="Table Grid"/>
    <w:basedOn w:val="TableNormal"/>
    <w:uiPriority w:val="39"/>
    <w:rsid w:val="002A7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C9F"/>
  </w:style>
  <w:style w:type="paragraph" w:styleId="Footer">
    <w:name w:val="footer"/>
    <w:basedOn w:val="Normal"/>
    <w:link w:val="FooterChar"/>
    <w:uiPriority w:val="99"/>
    <w:unhideWhenUsed/>
    <w:rsid w:val="00C8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C9F"/>
  </w:style>
  <w:style w:type="paragraph" w:styleId="Revision">
    <w:name w:val="Revision"/>
    <w:hidden/>
    <w:uiPriority w:val="99"/>
    <w:semiHidden/>
    <w:rsid w:val="009E1CD5"/>
    <w:pPr>
      <w:spacing w:after="0" w:line="240" w:lineRule="auto"/>
    </w:pPr>
  </w:style>
  <w:style w:type="table" w:styleId="TableGridLight">
    <w:name w:val="Grid Table Light"/>
    <w:basedOn w:val="TableNormal"/>
    <w:uiPriority w:val="40"/>
    <w:rsid w:val="001E78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40C4F"/>
    <w:rPr>
      <w:sz w:val="16"/>
      <w:szCs w:val="16"/>
    </w:rPr>
  </w:style>
  <w:style w:type="paragraph" w:styleId="CommentText">
    <w:name w:val="annotation text"/>
    <w:basedOn w:val="Normal"/>
    <w:link w:val="CommentTextChar"/>
    <w:uiPriority w:val="99"/>
    <w:unhideWhenUsed/>
    <w:rsid w:val="00B40C4F"/>
    <w:pPr>
      <w:spacing w:line="240" w:lineRule="auto"/>
    </w:pPr>
    <w:rPr>
      <w:sz w:val="20"/>
      <w:szCs w:val="20"/>
    </w:rPr>
  </w:style>
  <w:style w:type="character" w:customStyle="1" w:styleId="CommentTextChar">
    <w:name w:val="Comment Text Char"/>
    <w:basedOn w:val="DefaultParagraphFont"/>
    <w:link w:val="CommentText"/>
    <w:uiPriority w:val="99"/>
    <w:rsid w:val="00B40C4F"/>
    <w:rPr>
      <w:sz w:val="20"/>
      <w:szCs w:val="20"/>
    </w:rPr>
  </w:style>
  <w:style w:type="paragraph" w:styleId="CommentSubject">
    <w:name w:val="annotation subject"/>
    <w:basedOn w:val="CommentText"/>
    <w:next w:val="CommentText"/>
    <w:link w:val="CommentSubjectChar"/>
    <w:uiPriority w:val="99"/>
    <w:semiHidden/>
    <w:unhideWhenUsed/>
    <w:rsid w:val="00B40C4F"/>
    <w:rPr>
      <w:b/>
      <w:bCs/>
    </w:rPr>
  </w:style>
  <w:style w:type="character" w:customStyle="1" w:styleId="CommentSubjectChar">
    <w:name w:val="Comment Subject Char"/>
    <w:basedOn w:val="CommentTextChar"/>
    <w:link w:val="CommentSubject"/>
    <w:uiPriority w:val="99"/>
    <w:semiHidden/>
    <w:rsid w:val="00B40C4F"/>
    <w:rPr>
      <w:b/>
      <w:bCs/>
      <w:sz w:val="20"/>
      <w:szCs w:val="20"/>
    </w:rPr>
  </w:style>
  <w:style w:type="character" w:styleId="Hyperlink">
    <w:name w:val="Hyperlink"/>
    <w:basedOn w:val="DefaultParagraphFont"/>
    <w:uiPriority w:val="99"/>
    <w:unhideWhenUsed/>
    <w:rsid w:val="004730C1"/>
    <w:rPr>
      <w:color w:val="0000FF"/>
      <w:u w:val="single"/>
    </w:rPr>
  </w:style>
  <w:style w:type="character" w:styleId="FollowedHyperlink">
    <w:name w:val="FollowedHyperlink"/>
    <w:basedOn w:val="DefaultParagraphFont"/>
    <w:uiPriority w:val="99"/>
    <w:semiHidden/>
    <w:unhideWhenUsed/>
    <w:rsid w:val="00626106"/>
    <w:rPr>
      <w:color w:val="954F72" w:themeColor="followedHyperlink"/>
      <w:u w:val="single"/>
    </w:rPr>
  </w:style>
  <w:style w:type="character" w:styleId="UnresolvedMention">
    <w:name w:val="Unresolved Mention"/>
    <w:basedOn w:val="DefaultParagraphFont"/>
    <w:uiPriority w:val="99"/>
    <w:semiHidden/>
    <w:unhideWhenUsed/>
    <w:rsid w:val="00626106"/>
    <w:rPr>
      <w:color w:val="605E5C"/>
      <w:shd w:val="clear" w:color="auto" w:fill="E1DFDD"/>
    </w:rPr>
  </w:style>
  <w:style w:type="character" w:customStyle="1" w:styleId="xxcf11">
    <w:name w:val="x_xcf11"/>
    <w:basedOn w:val="DefaultParagraphFont"/>
    <w:rsid w:val="00FA5272"/>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5807">
      <w:bodyDiv w:val="1"/>
      <w:marLeft w:val="0"/>
      <w:marRight w:val="0"/>
      <w:marTop w:val="0"/>
      <w:marBottom w:val="0"/>
      <w:divBdr>
        <w:top w:val="none" w:sz="0" w:space="0" w:color="auto"/>
        <w:left w:val="none" w:sz="0" w:space="0" w:color="auto"/>
        <w:bottom w:val="none" w:sz="0" w:space="0" w:color="auto"/>
        <w:right w:val="none" w:sz="0" w:space="0" w:color="auto"/>
      </w:divBdr>
    </w:div>
    <w:div w:id="132719770">
      <w:bodyDiv w:val="1"/>
      <w:marLeft w:val="0"/>
      <w:marRight w:val="0"/>
      <w:marTop w:val="0"/>
      <w:marBottom w:val="0"/>
      <w:divBdr>
        <w:top w:val="none" w:sz="0" w:space="0" w:color="auto"/>
        <w:left w:val="none" w:sz="0" w:space="0" w:color="auto"/>
        <w:bottom w:val="none" w:sz="0" w:space="0" w:color="auto"/>
        <w:right w:val="none" w:sz="0" w:space="0" w:color="auto"/>
      </w:divBdr>
    </w:div>
    <w:div w:id="195586661">
      <w:bodyDiv w:val="1"/>
      <w:marLeft w:val="0"/>
      <w:marRight w:val="0"/>
      <w:marTop w:val="0"/>
      <w:marBottom w:val="0"/>
      <w:divBdr>
        <w:top w:val="none" w:sz="0" w:space="0" w:color="auto"/>
        <w:left w:val="none" w:sz="0" w:space="0" w:color="auto"/>
        <w:bottom w:val="none" w:sz="0" w:space="0" w:color="auto"/>
        <w:right w:val="none" w:sz="0" w:space="0" w:color="auto"/>
      </w:divBdr>
    </w:div>
    <w:div w:id="391588402">
      <w:bodyDiv w:val="1"/>
      <w:marLeft w:val="0"/>
      <w:marRight w:val="0"/>
      <w:marTop w:val="0"/>
      <w:marBottom w:val="0"/>
      <w:divBdr>
        <w:top w:val="none" w:sz="0" w:space="0" w:color="auto"/>
        <w:left w:val="none" w:sz="0" w:space="0" w:color="auto"/>
        <w:bottom w:val="none" w:sz="0" w:space="0" w:color="auto"/>
        <w:right w:val="none" w:sz="0" w:space="0" w:color="auto"/>
      </w:divBdr>
    </w:div>
    <w:div w:id="528226999">
      <w:bodyDiv w:val="1"/>
      <w:marLeft w:val="0"/>
      <w:marRight w:val="0"/>
      <w:marTop w:val="0"/>
      <w:marBottom w:val="0"/>
      <w:divBdr>
        <w:top w:val="none" w:sz="0" w:space="0" w:color="auto"/>
        <w:left w:val="none" w:sz="0" w:space="0" w:color="auto"/>
        <w:bottom w:val="none" w:sz="0" w:space="0" w:color="auto"/>
        <w:right w:val="none" w:sz="0" w:space="0" w:color="auto"/>
      </w:divBdr>
    </w:div>
    <w:div w:id="688216679">
      <w:bodyDiv w:val="1"/>
      <w:marLeft w:val="0"/>
      <w:marRight w:val="0"/>
      <w:marTop w:val="0"/>
      <w:marBottom w:val="0"/>
      <w:divBdr>
        <w:top w:val="none" w:sz="0" w:space="0" w:color="auto"/>
        <w:left w:val="none" w:sz="0" w:space="0" w:color="auto"/>
        <w:bottom w:val="none" w:sz="0" w:space="0" w:color="auto"/>
        <w:right w:val="none" w:sz="0" w:space="0" w:color="auto"/>
      </w:divBdr>
    </w:div>
    <w:div w:id="870460291">
      <w:bodyDiv w:val="1"/>
      <w:marLeft w:val="0"/>
      <w:marRight w:val="0"/>
      <w:marTop w:val="0"/>
      <w:marBottom w:val="0"/>
      <w:divBdr>
        <w:top w:val="none" w:sz="0" w:space="0" w:color="auto"/>
        <w:left w:val="none" w:sz="0" w:space="0" w:color="auto"/>
        <w:bottom w:val="none" w:sz="0" w:space="0" w:color="auto"/>
        <w:right w:val="none" w:sz="0" w:space="0" w:color="auto"/>
      </w:divBdr>
    </w:div>
    <w:div w:id="878010377">
      <w:bodyDiv w:val="1"/>
      <w:marLeft w:val="0"/>
      <w:marRight w:val="0"/>
      <w:marTop w:val="0"/>
      <w:marBottom w:val="0"/>
      <w:divBdr>
        <w:top w:val="none" w:sz="0" w:space="0" w:color="auto"/>
        <w:left w:val="none" w:sz="0" w:space="0" w:color="auto"/>
        <w:bottom w:val="none" w:sz="0" w:space="0" w:color="auto"/>
        <w:right w:val="none" w:sz="0" w:space="0" w:color="auto"/>
      </w:divBdr>
    </w:div>
    <w:div w:id="1145198435">
      <w:bodyDiv w:val="1"/>
      <w:marLeft w:val="0"/>
      <w:marRight w:val="0"/>
      <w:marTop w:val="0"/>
      <w:marBottom w:val="0"/>
      <w:divBdr>
        <w:top w:val="none" w:sz="0" w:space="0" w:color="auto"/>
        <w:left w:val="none" w:sz="0" w:space="0" w:color="auto"/>
        <w:bottom w:val="none" w:sz="0" w:space="0" w:color="auto"/>
        <w:right w:val="none" w:sz="0" w:space="0" w:color="auto"/>
      </w:divBdr>
    </w:div>
    <w:div w:id="1435058529">
      <w:bodyDiv w:val="1"/>
      <w:marLeft w:val="0"/>
      <w:marRight w:val="0"/>
      <w:marTop w:val="0"/>
      <w:marBottom w:val="0"/>
      <w:divBdr>
        <w:top w:val="none" w:sz="0" w:space="0" w:color="auto"/>
        <w:left w:val="none" w:sz="0" w:space="0" w:color="auto"/>
        <w:bottom w:val="none" w:sz="0" w:space="0" w:color="auto"/>
        <w:right w:val="none" w:sz="0" w:space="0" w:color="auto"/>
      </w:divBdr>
    </w:div>
    <w:div w:id="1456873758">
      <w:bodyDiv w:val="1"/>
      <w:marLeft w:val="0"/>
      <w:marRight w:val="0"/>
      <w:marTop w:val="0"/>
      <w:marBottom w:val="0"/>
      <w:divBdr>
        <w:top w:val="none" w:sz="0" w:space="0" w:color="auto"/>
        <w:left w:val="none" w:sz="0" w:space="0" w:color="auto"/>
        <w:bottom w:val="none" w:sz="0" w:space="0" w:color="auto"/>
        <w:right w:val="none" w:sz="0" w:space="0" w:color="auto"/>
      </w:divBdr>
    </w:div>
    <w:div w:id="1532105980">
      <w:bodyDiv w:val="1"/>
      <w:marLeft w:val="0"/>
      <w:marRight w:val="0"/>
      <w:marTop w:val="0"/>
      <w:marBottom w:val="0"/>
      <w:divBdr>
        <w:top w:val="none" w:sz="0" w:space="0" w:color="auto"/>
        <w:left w:val="none" w:sz="0" w:space="0" w:color="auto"/>
        <w:bottom w:val="none" w:sz="0" w:space="0" w:color="auto"/>
        <w:right w:val="none" w:sz="0" w:space="0" w:color="auto"/>
      </w:divBdr>
    </w:div>
    <w:div w:id="1731492132">
      <w:bodyDiv w:val="1"/>
      <w:marLeft w:val="0"/>
      <w:marRight w:val="0"/>
      <w:marTop w:val="0"/>
      <w:marBottom w:val="0"/>
      <w:divBdr>
        <w:top w:val="none" w:sz="0" w:space="0" w:color="auto"/>
        <w:left w:val="none" w:sz="0" w:space="0" w:color="auto"/>
        <w:bottom w:val="none" w:sz="0" w:space="0" w:color="auto"/>
        <w:right w:val="none" w:sz="0" w:space="0" w:color="auto"/>
      </w:divBdr>
    </w:div>
    <w:div w:id="2060012108">
      <w:bodyDiv w:val="1"/>
      <w:marLeft w:val="0"/>
      <w:marRight w:val="0"/>
      <w:marTop w:val="0"/>
      <w:marBottom w:val="0"/>
      <w:divBdr>
        <w:top w:val="none" w:sz="0" w:space="0" w:color="auto"/>
        <w:left w:val="none" w:sz="0" w:space="0" w:color="auto"/>
        <w:bottom w:val="none" w:sz="0" w:space="0" w:color="auto"/>
        <w:right w:val="none" w:sz="0" w:space="0" w:color="auto"/>
      </w:divBdr>
    </w:div>
    <w:div w:id="2066484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5CAEF-F6BE-43D5-AC67-982DB90D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1180</Words>
  <Characters>6726</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National Contact Point Liaison Group Meeting Minutes 3 July 2024</dc:title>
  <dc:subject/>
  <dc:creator>Ministry of Business, Innovation &amp; Employment</dc:creator>
  <cp:keywords>MAKO ID 159865073</cp:keywords>
  <dc:description/>
  <cp:lastPrinted>2024-07-09T01:00:00Z</cp:lastPrinted>
  <dcterms:created xsi:type="dcterms:W3CDTF">2024-07-09T00:57:00Z</dcterms:created>
  <dcterms:modified xsi:type="dcterms:W3CDTF">2025-08-05T22:18:00Z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2023-06-07T03:57:20Z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ff5d781c-4c82-468b-9d35-92507bec15e8</vt:lpwstr>
  </property>
  <property fmtid="{D5CDD505-2E9C-101B-9397-08002B2CF9AE}" pid="8" name="MSIP_Label_738466f7-346c-47bb-a4d2-4a6558d61975_ContentBits">
    <vt:lpwstr>0</vt:lpwstr>
  </property>
</Properties>
</file>