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07C370B2" w:rsidR="001B4C2B"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6FC7123C" w14:textId="123DFA1F" w:rsidR="00514004" w:rsidRPr="00514004" w:rsidRDefault="00514004" w:rsidP="007A2BE9">
      <w:pPr>
        <w:spacing w:after="120"/>
        <w:jc w:val="center"/>
        <w:rPr>
          <w:rFonts w:ascii="Calibri" w:hAnsi="Calibri"/>
          <w:b/>
          <w:sz w:val="32"/>
          <w:szCs w:val="32"/>
        </w:rPr>
      </w:pPr>
      <w:r>
        <w:rPr>
          <w:rFonts w:ascii="Calibri" w:hAnsi="Calibri"/>
          <w:b/>
          <w:sz w:val="32"/>
          <w:szCs w:val="32"/>
        </w:rPr>
        <w:t>VISION M</w:t>
      </w:r>
      <w:r>
        <w:rPr>
          <w:rFonts w:ascii="Calibri" w:hAnsi="Calibri"/>
          <w:b/>
          <w:sz w:val="32"/>
          <w:szCs w:val="32"/>
          <w:lang w:val="mi-NZ"/>
        </w:rPr>
        <w:t>Ā</w:t>
      </w:r>
      <w:r>
        <w:rPr>
          <w:rFonts w:ascii="Calibri" w:hAnsi="Calibri"/>
          <w:b/>
          <w:sz w:val="32"/>
          <w:szCs w:val="32"/>
        </w:rPr>
        <w:t>TAURANGA CAPABILITY FUND</w:t>
      </w:r>
    </w:p>
    <w:p w14:paraId="06E92AAE" w14:textId="68BA8D12" w:rsidR="001B4C2B" w:rsidRPr="00422FAA" w:rsidRDefault="001B4C2B" w:rsidP="00096528">
      <w:pPr>
        <w:jc w:val="center"/>
        <w:rPr>
          <w:rFonts w:ascii="Calibri" w:hAnsi="Calibri" w:cs="Arial"/>
          <w:b/>
          <w:i/>
          <w:sz w:val="32"/>
          <w:szCs w:val="32"/>
        </w:rPr>
      </w:pPr>
      <w:r w:rsidRPr="00481AC4">
        <w:rPr>
          <w:rFonts w:ascii="Calibri" w:hAnsi="Calibri" w:cs="Arial"/>
          <w:b/>
          <w:i/>
          <w:sz w:val="32"/>
          <w:szCs w:val="32"/>
        </w:rPr>
        <w:t>[</w:t>
      </w:r>
      <w:r w:rsidR="00B05815" w:rsidRPr="00481AC4">
        <w:rPr>
          <w:rFonts w:ascii="Calibri" w:hAnsi="Calibri" w:cs="Arial"/>
          <w:b/>
          <w:i/>
          <w:sz w:val="32"/>
          <w:szCs w:val="32"/>
          <w:highlight w:val="yellow"/>
        </w:rPr>
        <w:t>PROJECT TITLE</w:t>
      </w:r>
      <w:r w:rsidRPr="00481AC4">
        <w:rPr>
          <w:rFonts w:ascii="Calibri" w:hAnsi="Calibri" w:cs="Arial"/>
          <w:b/>
          <w:i/>
          <w:sz w:val="32"/>
          <w:szCs w:val="32"/>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387B7091"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proofErr w:type="spellStart"/>
      <w:r w:rsidR="00D675A0" w:rsidRPr="00D675A0">
        <w:rPr>
          <w:rFonts w:ascii="Calibri" w:eastAsia="Calibri" w:hAnsi="Calibri" w:cs="Arial"/>
          <w:sz w:val="22"/>
          <w:szCs w:val="22"/>
          <w:lang w:eastAsia="en-US"/>
        </w:rPr>
        <w:t>Te</w:t>
      </w:r>
      <w:proofErr w:type="spellEnd"/>
      <w:r w:rsidR="00D675A0" w:rsidRPr="00D675A0">
        <w:rPr>
          <w:rFonts w:ascii="Calibri" w:eastAsia="Calibri" w:hAnsi="Calibri" w:cs="Arial"/>
          <w:sz w:val="22"/>
          <w:szCs w:val="22"/>
          <w:lang w:eastAsia="en-US"/>
        </w:rPr>
        <w:t xml:space="preserv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Whakatutuki</w:t>
      </w:r>
      <w:proofErr w:type="spellEnd"/>
      <w:r w:rsidR="00D675A0" w:rsidRPr="00D675A0">
        <w:rPr>
          <w:rFonts w:ascii="Calibri" w:eastAsia="Calibri" w:hAnsi="Calibri" w:cs="Arial"/>
          <w:sz w:val="22"/>
          <w:szCs w:val="22"/>
          <w:lang w:eastAsia="en-US"/>
        </w:rPr>
        <w:t>,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r>
      <w:r w:rsidRPr="00481AC4">
        <w:rPr>
          <w:rFonts w:ascii="Calibri" w:hAnsi="Calibri" w:cs="Arial"/>
          <w:b/>
          <w:sz w:val="22"/>
          <w:szCs w:val="22"/>
        </w:rPr>
        <w:t>[</w:t>
      </w:r>
      <w:r w:rsidRPr="00481AC4">
        <w:rPr>
          <w:rFonts w:ascii="Calibri" w:hAnsi="Calibri" w:cs="Arial"/>
          <w:b/>
          <w:i/>
          <w:sz w:val="22"/>
          <w:szCs w:val="22"/>
          <w:highlight w:val="yellow"/>
        </w:rPr>
        <w:t xml:space="preserve">FULL LEGAL NAME OF </w:t>
      </w:r>
      <w:r w:rsidR="00BE0B10" w:rsidRPr="00481AC4">
        <w:rPr>
          <w:rFonts w:ascii="Calibri" w:hAnsi="Calibri" w:cs="Arial"/>
          <w:b/>
          <w:i/>
          <w:sz w:val="22"/>
          <w:szCs w:val="22"/>
          <w:highlight w:val="yellow"/>
        </w:rPr>
        <w:t>CONTRACTOR</w:t>
      </w:r>
      <w:r w:rsidRPr="00481AC4">
        <w:rPr>
          <w:rFonts w:ascii="Calibri" w:hAnsi="Calibri" w:cs="Arial"/>
          <w:b/>
          <w:sz w:val="22"/>
          <w:szCs w:val="22"/>
        </w:rPr>
        <w:t xml:space="preserve">] </w:t>
      </w:r>
      <w:r w:rsidRPr="00481AC4">
        <w:rPr>
          <w:rFonts w:ascii="Calibri" w:hAnsi="Calibri" w:cs="Arial"/>
          <w:i/>
          <w:sz w:val="22"/>
          <w:szCs w:val="22"/>
        </w:rPr>
        <w:t>of</w:t>
      </w:r>
      <w:r w:rsidRPr="00481AC4">
        <w:rPr>
          <w:rFonts w:ascii="Calibri" w:hAnsi="Calibri" w:cs="Arial"/>
          <w:sz w:val="22"/>
          <w:szCs w:val="22"/>
        </w:rPr>
        <w:t xml:space="preserve"> [</w:t>
      </w:r>
      <w:r w:rsidR="00D675A0" w:rsidRPr="00481AC4">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77777777"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proofErr w:type="spellStart"/>
            <w:r w:rsidRPr="00BD3C2F">
              <w:rPr>
                <w:rFonts w:ascii="Calibri" w:hAnsi="Calibri" w:cs="Calibri"/>
                <w:sz w:val="20"/>
                <w:lang w:val="en-US"/>
              </w:rPr>
              <w:t>Te</w:t>
            </w:r>
            <w:proofErr w:type="spellEnd"/>
            <w:r w:rsidRPr="00BD3C2F">
              <w:rPr>
                <w:rFonts w:ascii="Calibri" w:hAnsi="Calibri" w:cs="Calibri"/>
                <w:sz w:val="20"/>
                <w:lang w:val="en-US"/>
              </w:rPr>
              <w:t xml:space="preserv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Whakatutuki</w:t>
            </w:r>
            <w:proofErr w:type="spellEnd"/>
            <w:r w:rsidRPr="00BD3C2F">
              <w:rPr>
                <w:rFonts w:ascii="Calibri" w:hAnsi="Calibri" w:cs="Calibri"/>
                <w:sz w:val="20"/>
                <w:lang w:val="en-US"/>
              </w:rPr>
              <w:t xml:space="preserve">,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lastRenderedPageBreak/>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03CC1095" w14:textId="66DBFC22" w:rsidR="00822F0B" w:rsidRDefault="00822F0B" w:rsidP="00822F0B">
      <w:pPr>
        <w:spacing w:after="200" w:line="360" w:lineRule="auto"/>
        <w:ind w:firstLine="720"/>
        <w:jc w:val="both"/>
        <w:rPr>
          <w:rFonts w:ascii="Calibri" w:hAnsi="Calibri"/>
          <w:sz w:val="22"/>
          <w:szCs w:val="22"/>
        </w:rPr>
      </w:pPr>
      <w:r w:rsidRPr="00422FAA">
        <w:rPr>
          <w:rFonts w:ascii="Calibri" w:hAnsi="Calibri"/>
          <w:sz w:val="22"/>
          <w:szCs w:val="22"/>
        </w:rPr>
        <w:t>[</w:t>
      </w:r>
      <w:r w:rsidR="00CE0B06" w:rsidRPr="00CE0B06">
        <w:rPr>
          <w:rFonts w:ascii="Calibri" w:hAnsi="Calibri"/>
          <w:i/>
          <w:sz w:val="22"/>
          <w:szCs w:val="22"/>
          <w:highlight w:val="yellow"/>
        </w:rPr>
        <w:t>Insert Project Summary from proposal</w:t>
      </w:r>
      <w:r>
        <w:rPr>
          <w:rFonts w:ascii="Calibri" w:hAnsi="Calibri"/>
          <w:i/>
          <w:sz w:val="22"/>
          <w:szCs w:val="22"/>
        </w:rPr>
        <w:t>]</w:t>
      </w:r>
      <w:r>
        <w:rPr>
          <w:rFonts w:ascii="Calibri" w:hAnsi="Calibri"/>
          <w:sz w:val="22"/>
          <w:szCs w:val="22"/>
        </w:rPr>
        <w:t xml:space="preserve"> </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9F18FAD"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w:t>
      </w:r>
      <w:r w:rsidR="001C4EE3">
        <w:rPr>
          <w:i/>
          <w:iCs/>
        </w:rPr>
        <w:t xml:space="preserve"> </w:t>
      </w:r>
      <w:r w:rsidRPr="001E1F4C">
        <w:rPr>
          <w:i/>
          <w:iCs/>
        </w:rPr>
        <w:t>2)</w:t>
      </w:r>
    </w:p>
    <w:p w14:paraId="2079F31E" w14:textId="1D01CE02" w:rsidR="00A323E0" w:rsidRPr="00422FAA" w:rsidRDefault="001E1F4C" w:rsidP="00A323E0">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6E57A74D"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1E1F4C" w:rsidRPr="00A35859">
        <w:rPr>
          <w:i/>
          <w:highlight w:val="cyan"/>
        </w:rPr>
        <w:t>[State which fund</w:t>
      </w:r>
      <w:r w:rsidRPr="00A35859">
        <w:rPr>
          <w:i/>
          <w:highlight w:val="cyan"/>
        </w:rPr>
        <w:t xml:space="preserve"> and </w:t>
      </w:r>
      <w:r w:rsidR="001E1F4C" w:rsidRPr="00A35859">
        <w:rPr>
          <w:i/>
          <w:highlight w:val="cyan"/>
        </w:rPr>
        <w:t xml:space="preserve">appropriation the funding is being taken from and who has approved the funding.  </w:t>
      </w:r>
      <w:proofErr w:type="gramStart"/>
      <w:r w:rsidR="001E1F4C" w:rsidRPr="00A35859">
        <w:rPr>
          <w:i/>
          <w:highlight w:val="cyan"/>
        </w:rPr>
        <w:t>E.g.[</w:t>
      </w:r>
      <w:proofErr w:type="gramEnd"/>
      <w:r w:rsidR="001E1F4C" w:rsidRPr="00A35859">
        <w:rPr>
          <w:i/>
          <w:highlight w:val="cyan"/>
        </w:rPr>
        <w:t>INSERT EXAMPLES FROM BRANCH], approved by [Minister XXX] on [date].</w:t>
      </w:r>
      <w:r w:rsidR="001E1F4C" w:rsidRPr="00A35859">
        <w:rPr>
          <w:highlight w:val="cyan"/>
        </w:rPr>
        <w:t>]</w:t>
      </w:r>
      <w:r w:rsidR="001E1F4C" w:rsidRPr="00076472">
        <w:rPr>
          <w:i/>
        </w:rPr>
        <w:t xml:space="preserve"> </w:t>
      </w:r>
      <w:r w:rsidR="00076472">
        <w:rPr>
          <w:i/>
        </w:rPr>
        <w:br/>
      </w:r>
    </w:p>
    <w:p w14:paraId="3C77B4CC" w14:textId="599ABEA9"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076D9DDC" w:rsidR="002F366E" w:rsidRDefault="00992483" w:rsidP="002F366E">
      <w:pPr>
        <w:spacing w:after="200" w:line="360" w:lineRule="auto"/>
        <w:ind w:firstLine="720"/>
        <w:jc w:val="both"/>
        <w:rPr>
          <w:rFonts w:ascii="Calibri" w:hAnsi="Calibri"/>
          <w:i/>
          <w:sz w:val="22"/>
          <w:szCs w:val="22"/>
        </w:rPr>
      </w:pPr>
      <w:r w:rsidRPr="00CE0B06">
        <w:rPr>
          <w:rFonts w:ascii="Calibri" w:hAnsi="Calibri"/>
          <w:sz w:val="22"/>
          <w:szCs w:val="22"/>
        </w:rPr>
        <w:t>Described in the Project Plan, as attached as Appendix 2.</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20CAB" w:rsidR="00836D0E" w:rsidRDefault="00836D0E" w:rsidP="00D70E6E">
      <w:pPr>
        <w:keepNext/>
        <w:spacing w:after="200" w:line="360" w:lineRule="auto"/>
        <w:ind w:left="720" w:hanging="720"/>
        <w:jc w:val="both"/>
        <w:rPr>
          <w:rFonts w:ascii="Calibri" w:hAnsi="Calibr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51688DCD" w14:textId="77777777" w:rsidR="00B94766" w:rsidRPr="00481AC4" w:rsidRDefault="00B94766" w:rsidP="00B94766">
      <w:pPr>
        <w:keepNext/>
        <w:spacing w:after="200" w:line="360" w:lineRule="auto"/>
        <w:ind w:left="720"/>
        <w:jc w:val="both"/>
        <w:rPr>
          <w:rFonts w:ascii="Calibri" w:hAnsi="Calibri" w:cs="Arial"/>
          <w:sz w:val="22"/>
          <w:szCs w:val="22"/>
        </w:rPr>
      </w:pPr>
      <w:r w:rsidRPr="00481AC4">
        <w:rPr>
          <w:rFonts w:ascii="Calibri" w:hAnsi="Calibri" w:cs="Arial"/>
          <w:sz w:val="22"/>
          <w:szCs w:val="22"/>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2123"/>
        <w:gridCol w:w="3123"/>
      </w:tblGrid>
      <w:tr w:rsidR="003440AA" w:rsidRPr="001520AA" w14:paraId="45C05A3A" w14:textId="77777777" w:rsidTr="0042206F">
        <w:tc>
          <w:tcPr>
            <w:tcW w:w="3402" w:type="dxa"/>
            <w:shd w:val="clear" w:color="auto" w:fill="auto"/>
          </w:tcPr>
          <w:p w14:paraId="3314C7A4" w14:textId="0E914802" w:rsidR="00B94766" w:rsidRPr="00481AC4" w:rsidRDefault="00B94766" w:rsidP="0042206F">
            <w:pPr>
              <w:spacing w:after="200" w:line="360" w:lineRule="auto"/>
              <w:rPr>
                <w:rFonts w:ascii="Calibri" w:hAnsi="Calibri"/>
                <w:sz w:val="22"/>
                <w:szCs w:val="22"/>
              </w:rPr>
            </w:pPr>
            <w:r w:rsidRPr="00481AC4">
              <w:rPr>
                <w:rFonts w:ascii="Calibri" w:hAnsi="Calibri"/>
                <w:sz w:val="22"/>
                <w:szCs w:val="22"/>
              </w:rPr>
              <w:t>Instalment (</w:t>
            </w:r>
            <w:r w:rsidR="00003318" w:rsidRPr="00481AC4">
              <w:rPr>
                <w:rFonts w:ascii="Calibri" w:hAnsi="Calibri"/>
                <w:sz w:val="22"/>
                <w:szCs w:val="22"/>
              </w:rPr>
              <w:t>excluding GST</w:t>
            </w:r>
            <w:r w:rsidRPr="00481AC4">
              <w:rPr>
                <w:rFonts w:ascii="Calibri" w:hAnsi="Calibri"/>
                <w:sz w:val="22"/>
                <w:szCs w:val="22"/>
              </w:rPr>
              <w:t>)</w:t>
            </w:r>
          </w:p>
        </w:tc>
        <w:tc>
          <w:tcPr>
            <w:tcW w:w="2147" w:type="dxa"/>
            <w:shd w:val="clear" w:color="auto" w:fill="auto"/>
          </w:tcPr>
          <w:p w14:paraId="3F3BB412" w14:textId="77777777" w:rsidR="00B94766" w:rsidRPr="00481AC4" w:rsidRDefault="00B94766" w:rsidP="0042206F">
            <w:pPr>
              <w:spacing w:after="200" w:line="360" w:lineRule="auto"/>
              <w:rPr>
                <w:rFonts w:ascii="Calibri" w:hAnsi="Calibri"/>
                <w:sz w:val="22"/>
                <w:szCs w:val="22"/>
              </w:rPr>
            </w:pPr>
            <w:r w:rsidRPr="00481AC4">
              <w:rPr>
                <w:rFonts w:ascii="Calibri" w:hAnsi="Calibri"/>
                <w:sz w:val="22"/>
                <w:szCs w:val="22"/>
              </w:rPr>
              <w:t>Date</w:t>
            </w:r>
          </w:p>
        </w:tc>
        <w:tc>
          <w:tcPr>
            <w:tcW w:w="3183" w:type="dxa"/>
            <w:shd w:val="clear" w:color="auto" w:fill="auto"/>
          </w:tcPr>
          <w:p w14:paraId="7077FA0B" w14:textId="77777777" w:rsidR="00B94766" w:rsidRPr="00481AC4" w:rsidRDefault="00B94766" w:rsidP="0042206F">
            <w:pPr>
              <w:spacing w:after="200" w:line="360" w:lineRule="auto"/>
              <w:rPr>
                <w:rFonts w:ascii="Calibri" w:hAnsi="Calibri"/>
                <w:sz w:val="22"/>
                <w:szCs w:val="22"/>
              </w:rPr>
            </w:pPr>
            <w:r w:rsidRPr="00481AC4">
              <w:rPr>
                <w:rFonts w:ascii="Calibri" w:hAnsi="Calibri"/>
                <w:sz w:val="22"/>
                <w:szCs w:val="22"/>
              </w:rPr>
              <w:t>Milestone</w:t>
            </w:r>
          </w:p>
        </w:tc>
      </w:tr>
      <w:tr w:rsidR="003440AA" w:rsidRPr="00422FAA" w14:paraId="31DFD0CB" w14:textId="77777777" w:rsidTr="0042206F">
        <w:tc>
          <w:tcPr>
            <w:tcW w:w="3402" w:type="dxa"/>
            <w:shd w:val="clear" w:color="auto" w:fill="auto"/>
          </w:tcPr>
          <w:p w14:paraId="7F524200" w14:textId="77777777" w:rsidR="00B94766" w:rsidRPr="001520AA" w:rsidRDefault="00B94766" w:rsidP="0042206F">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p w14:paraId="11BAFF86" w14:textId="50902122" w:rsidR="00B94766" w:rsidRPr="001520AA" w:rsidRDefault="00B94766" w:rsidP="0042206F">
            <w:pPr>
              <w:spacing w:after="200" w:line="360" w:lineRule="auto"/>
              <w:rPr>
                <w:rFonts w:ascii="Calibri" w:hAnsi="Calibri"/>
                <w:sz w:val="22"/>
                <w:szCs w:val="22"/>
                <w:highlight w:val="yellow"/>
              </w:rPr>
            </w:pPr>
          </w:p>
        </w:tc>
        <w:tc>
          <w:tcPr>
            <w:tcW w:w="2147" w:type="dxa"/>
            <w:shd w:val="clear" w:color="auto" w:fill="auto"/>
          </w:tcPr>
          <w:p w14:paraId="4DE98588" w14:textId="23B1FC27" w:rsidR="00B94766" w:rsidRPr="001520AA" w:rsidRDefault="00885492" w:rsidP="008F1408">
            <w:pPr>
              <w:spacing w:after="200" w:line="360" w:lineRule="auto"/>
              <w:rPr>
                <w:rFonts w:ascii="Calibri" w:hAnsi="Calibri"/>
                <w:sz w:val="22"/>
                <w:szCs w:val="22"/>
                <w:highlight w:val="yellow"/>
              </w:rPr>
            </w:pPr>
            <w:r w:rsidRPr="00CE0B06">
              <w:rPr>
                <w:rFonts w:ascii="Calibri" w:hAnsi="Calibri" w:cs="Arial"/>
                <w:sz w:val="22"/>
                <w:szCs w:val="22"/>
              </w:rPr>
              <w:t>Within 1 month from the Start Date</w:t>
            </w:r>
          </w:p>
        </w:tc>
        <w:tc>
          <w:tcPr>
            <w:tcW w:w="3183" w:type="dxa"/>
            <w:shd w:val="clear" w:color="auto" w:fill="auto"/>
          </w:tcPr>
          <w:p w14:paraId="12B481AF" w14:textId="3EE68A84" w:rsidR="006F66AD" w:rsidRPr="005D5770" w:rsidRDefault="006F66AD" w:rsidP="00FD7FB3">
            <w:pPr>
              <w:spacing w:after="200"/>
              <w:rPr>
                <w:rFonts w:ascii="Calibri" w:hAnsi="Calibri"/>
                <w:sz w:val="22"/>
                <w:szCs w:val="22"/>
                <w:highlight w:val="yellow"/>
              </w:rPr>
            </w:pPr>
            <w:r w:rsidRPr="005D5770">
              <w:rPr>
                <w:rFonts w:ascii="Calibri" w:hAnsi="Calibri"/>
                <w:sz w:val="22"/>
                <w:szCs w:val="22"/>
              </w:rPr>
              <w:t>This Contract executed by both Parties and received by the Ministry</w:t>
            </w:r>
            <w:r w:rsidR="005D5770" w:rsidRPr="005D5770">
              <w:rPr>
                <w:rFonts w:ascii="Calibri" w:hAnsi="Calibri"/>
                <w:sz w:val="22"/>
                <w:szCs w:val="22"/>
              </w:rPr>
              <w:t>.</w:t>
            </w:r>
          </w:p>
        </w:tc>
      </w:tr>
      <w:tr w:rsidR="003440AA" w:rsidRPr="00422FAA" w14:paraId="58B31D3C" w14:textId="77777777" w:rsidTr="0042206F">
        <w:tc>
          <w:tcPr>
            <w:tcW w:w="3402" w:type="dxa"/>
            <w:shd w:val="clear" w:color="auto" w:fill="auto"/>
          </w:tcPr>
          <w:p w14:paraId="5E23DE2E" w14:textId="77777777" w:rsidR="00CD7454" w:rsidRPr="001520AA" w:rsidRDefault="00CD7454" w:rsidP="0042206F">
            <w:pPr>
              <w:spacing w:after="200" w:line="360" w:lineRule="auto"/>
              <w:rPr>
                <w:rFonts w:ascii="Calibri" w:hAnsi="Calibri"/>
                <w:sz w:val="22"/>
                <w:szCs w:val="22"/>
                <w:highlight w:val="yellow"/>
              </w:rPr>
            </w:pPr>
          </w:p>
        </w:tc>
        <w:tc>
          <w:tcPr>
            <w:tcW w:w="2147" w:type="dxa"/>
            <w:shd w:val="clear" w:color="auto" w:fill="auto"/>
          </w:tcPr>
          <w:p w14:paraId="210F641A" w14:textId="44D3C298" w:rsidR="00CD7454" w:rsidRPr="001520AA" w:rsidRDefault="00885492" w:rsidP="00885492">
            <w:pPr>
              <w:spacing w:after="200" w:line="360" w:lineRule="auto"/>
              <w:rPr>
                <w:rFonts w:ascii="Calibri" w:hAnsi="Calibri"/>
                <w:sz w:val="22"/>
                <w:szCs w:val="22"/>
                <w:highlight w:val="yellow"/>
              </w:rPr>
            </w:pPr>
            <w:r w:rsidRPr="00885492">
              <w:rPr>
                <w:rFonts w:ascii="Calibri" w:hAnsi="Calibri"/>
                <w:sz w:val="22"/>
                <w:szCs w:val="22"/>
              </w:rPr>
              <w:t xml:space="preserve">Within 1 month </w:t>
            </w:r>
            <w:r w:rsidR="00FB7EB8">
              <w:rPr>
                <w:rFonts w:ascii="Calibri" w:hAnsi="Calibri"/>
                <w:sz w:val="22"/>
                <w:szCs w:val="22"/>
              </w:rPr>
              <w:t>of</w:t>
            </w:r>
            <w:r w:rsidRPr="00885492">
              <w:rPr>
                <w:rFonts w:ascii="Calibri" w:hAnsi="Calibri"/>
                <w:sz w:val="22"/>
                <w:szCs w:val="22"/>
              </w:rPr>
              <w:t xml:space="preserve"> the</w:t>
            </w:r>
            <w:r>
              <w:rPr>
                <w:rFonts w:ascii="Calibri" w:hAnsi="Calibri"/>
                <w:sz w:val="22"/>
                <w:szCs w:val="22"/>
              </w:rPr>
              <w:t xml:space="preserve"> </w:t>
            </w:r>
            <w:r w:rsidRPr="00885492">
              <w:rPr>
                <w:rFonts w:ascii="Calibri" w:hAnsi="Calibri"/>
                <w:sz w:val="22"/>
                <w:szCs w:val="22"/>
              </w:rPr>
              <w:t>date the Contractor’s</w:t>
            </w:r>
            <w:r>
              <w:rPr>
                <w:rFonts w:ascii="Calibri" w:hAnsi="Calibri"/>
                <w:sz w:val="22"/>
                <w:szCs w:val="22"/>
              </w:rPr>
              <w:t xml:space="preserve"> </w:t>
            </w:r>
            <w:r w:rsidR="00981C2F">
              <w:rPr>
                <w:rFonts w:ascii="Calibri" w:hAnsi="Calibri"/>
                <w:sz w:val="22"/>
                <w:szCs w:val="22"/>
              </w:rPr>
              <w:t>P</w:t>
            </w:r>
            <w:r w:rsidRPr="00885492">
              <w:rPr>
                <w:rFonts w:ascii="Calibri" w:hAnsi="Calibri"/>
                <w:sz w:val="22"/>
                <w:szCs w:val="22"/>
              </w:rPr>
              <w:t xml:space="preserve">rogress </w:t>
            </w:r>
            <w:r w:rsidR="00981C2F">
              <w:rPr>
                <w:rFonts w:ascii="Calibri" w:hAnsi="Calibri"/>
                <w:sz w:val="22"/>
                <w:szCs w:val="22"/>
              </w:rPr>
              <w:t>R</w:t>
            </w:r>
            <w:r w:rsidRPr="00885492">
              <w:rPr>
                <w:rFonts w:ascii="Calibri" w:hAnsi="Calibri"/>
                <w:sz w:val="22"/>
                <w:szCs w:val="22"/>
              </w:rPr>
              <w:t>eport is</w:t>
            </w:r>
            <w:r>
              <w:rPr>
                <w:rFonts w:ascii="Calibri" w:hAnsi="Calibri"/>
                <w:sz w:val="22"/>
                <w:szCs w:val="22"/>
              </w:rPr>
              <w:t xml:space="preserve"> </w:t>
            </w:r>
            <w:r w:rsidRPr="00885492">
              <w:rPr>
                <w:rFonts w:ascii="Calibri" w:hAnsi="Calibri"/>
                <w:sz w:val="22"/>
                <w:szCs w:val="22"/>
              </w:rPr>
              <w:t>approved by the Ministry</w:t>
            </w:r>
          </w:p>
        </w:tc>
        <w:tc>
          <w:tcPr>
            <w:tcW w:w="3183" w:type="dxa"/>
            <w:shd w:val="clear" w:color="auto" w:fill="auto"/>
          </w:tcPr>
          <w:p w14:paraId="668007AB" w14:textId="59F80831" w:rsidR="00CD7454" w:rsidRPr="001520AA" w:rsidRDefault="008F1408" w:rsidP="00A01D93">
            <w:pPr>
              <w:spacing w:after="200"/>
              <w:rPr>
                <w:rFonts w:ascii="Calibri" w:hAnsi="Calibri"/>
                <w:sz w:val="22"/>
                <w:szCs w:val="22"/>
                <w:highlight w:val="yellow"/>
              </w:rPr>
            </w:pPr>
            <w:r w:rsidRPr="008F1408">
              <w:rPr>
                <w:rFonts w:ascii="Calibri" w:hAnsi="Calibri"/>
                <w:sz w:val="22"/>
                <w:szCs w:val="22"/>
              </w:rPr>
              <w:t xml:space="preserve">Progress </w:t>
            </w:r>
            <w:r w:rsidR="00C85528">
              <w:rPr>
                <w:rFonts w:ascii="Calibri" w:hAnsi="Calibri"/>
                <w:sz w:val="22"/>
                <w:szCs w:val="22"/>
              </w:rPr>
              <w:t>R</w:t>
            </w:r>
            <w:r w:rsidRPr="008F1408">
              <w:rPr>
                <w:rFonts w:ascii="Calibri" w:hAnsi="Calibri"/>
                <w:sz w:val="22"/>
                <w:szCs w:val="22"/>
              </w:rPr>
              <w:t>eport.</w:t>
            </w:r>
          </w:p>
        </w:tc>
      </w:tr>
      <w:tr w:rsidR="003440AA" w:rsidRPr="00422FAA" w14:paraId="64DF10EB" w14:textId="77777777" w:rsidTr="0042206F">
        <w:tc>
          <w:tcPr>
            <w:tcW w:w="3402" w:type="dxa"/>
            <w:shd w:val="clear" w:color="auto" w:fill="auto"/>
          </w:tcPr>
          <w:p w14:paraId="56FA3737" w14:textId="2A209710" w:rsidR="00CD7454" w:rsidRPr="001520AA" w:rsidRDefault="00CD7454" w:rsidP="0042206F">
            <w:pPr>
              <w:spacing w:after="200" w:line="360" w:lineRule="auto"/>
              <w:rPr>
                <w:rFonts w:ascii="Calibri" w:hAnsi="Calibri"/>
                <w:sz w:val="22"/>
                <w:szCs w:val="22"/>
                <w:highlight w:val="yellow"/>
              </w:rPr>
            </w:pPr>
          </w:p>
        </w:tc>
        <w:tc>
          <w:tcPr>
            <w:tcW w:w="2147" w:type="dxa"/>
            <w:shd w:val="clear" w:color="auto" w:fill="auto"/>
          </w:tcPr>
          <w:p w14:paraId="58251E5B" w14:textId="574002E6" w:rsidR="00CD7454" w:rsidRPr="001520AA" w:rsidRDefault="00885492" w:rsidP="00885492">
            <w:pPr>
              <w:spacing w:after="200" w:line="360" w:lineRule="auto"/>
              <w:rPr>
                <w:rFonts w:ascii="Calibri" w:hAnsi="Calibri"/>
                <w:sz w:val="22"/>
                <w:szCs w:val="22"/>
                <w:highlight w:val="yellow"/>
              </w:rPr>
            </w:pPr>
            <w:r w:rsidRPr="00885492">
              <w:rPr>
                <w:rFonts w:ascii="Calibri" w:hAnsi="Calibri"/>
                <w:sz w:val="22"/>
                <w:szCs w:val="22"/>
              </w:rPr>
              <w:t xml:space="preserve">Within 1 month </w:t>
            </w:r>
            <w:r w:rsidR="00FB7EB8">
              <w:rPr>
                <w:rFonts w:ascii="Calibri" w:hAnsi="Calibri"/>
                <w:sz w:val="22"/>
                <w:szCs w:val="22"/>
              </w:rPr>
              <w:t>of</w:t>
            </w:r>
            <w:r w:rsidRPr="00885492">
              <w:rPr>
                <w:rFonts w:ascii="Calibri" w:hAnsi="Calibri"/>
                <w:sz w:val="22"/>
                <w:szCs w:val="22"/>
              </w:rPr>
              <w:t xml:space="preserve"> the</w:t>
            </w:r>
            <w:r>
              <w:rPr>
                <w:rFonts w:ascii="Calibri" w:hAnsi="Calibri"/>
                <w:sz w:val="22"/>
                <w:szCs w:val="22"/>
              </w:rPr>
              <w:t xml:space="preserve"> </w:t>
            </w:r>
            <w:r w:rsidRPr="00885492">
              <w:rPr>
                <w:rFonts w:ascii="Calibri" w:hAnsi="Calibri"/>
                <w:sz w:val="22"/>
                <w:szCs w:val="22"/>
              </w:rPr>
              <w:t xml:space="preserve">date the Contractor’s </w:t>
            </w:r>
            <w:r w:rsidR="00981C2F">
              <w:rPr>
                <w:rFonts w:ascii="Calibri" w:hAnsi="Calibri"/>
                <w:sz w:val="22"/>
                <w:szCs w:val="22"/>
              </w:rPr>
              <w:t>F</w:t>
            </w:r>
            <w:r w:rsidRPr="00885492">
              <w:rPr>
                <w:rFonts w:ascii="Calibri" w:hAnsi="Calibri"/>
                <w:sz w:val="22"/>
                <w:szCs w:val="22"/>
              </w:rPr>
              <w:t>inal</w:t>
            </w:r>
            <w:r>
              <w:rPr>
                <w:rFonts w:ascii="Calibri" w:hAnsi="Calibri"/>
                <w:sz w:val="22"/>
                <w:szCs w:val="22"/>
              </w:rPr>
              <w:t xml:space="preserve"> </w:t>
            </w:r>
            <w:r w:rsidR="00805BBF">
              <w:rPr>
                <w:rFonts w:ascii="Calibri" w:hAnsi="Calibri"/>
                <w:sz w:val="22"/>
                <w:szCs w:val="22"/>
              </w:rPr>
              <w:t>R</w:t>
            </w:r>
            <w:r w:rsidRPr="00885492">
              <w:rPr>
                <w:rFonts w:ascii="Calibri" w:hAnsi="Calibri"/>
                <w:sz w:val="22"/>
                <w:szCs w:val="22"/>
              </w:rPr>
              <w:t>eport is approved by the</w:t>
            </w:r>
            <w:r>
              <w:rPr>
                <w:rFonts w:ascii="Calibri" w:hAnsi="Calibri"/>
                <w:sz w:val="22"/>
                <w:szCs w:val="22"/>
              </w:rPr>
              <w:t xml:space="preserve"> </w:t>
            </w:r>
            <w:r w:rsidRPr="00885492">
              <w:rPr>
                <w:rFonts w:ascii="Calibri" w:hAnsi="Calibri"/>
                <w:sz w:val="22"/>
                <w:szCs w:val="22"/>
              </w:rPr>
              <w:t>Ministry</w:t>
            </w:r>
          </w:p>
        </w:tc>
        <w:tc>
          <w:tcPr>
            <w:tcW w:w="3183" w:type="dxa"/>
            <w:shd w:val="clear" w:color="auto" w:fill="auto"/>
          </w:tcPr>
          <w:p w14:paraId="230A800C" w14:textId="67896C86" w:rsidR="00CD7454" w:rsidRPr="001520AA" w:rsidRDefault="008F1408" w:rsidP="0042206F">
            <w:pPr>
              <w:spacing w:after="200" w:line="360" w:lineRule="auto"/>
              <w:rPr>
                <w:rFonts w:ascii="Calibri" w:hAnsi="Calibri"/>
                <w:sz w:val="22"/>
                <w:szCs w:val="22"/>
                <w:highlight w:val="yellow"/>
              </w:rPr>
            </w:pPr>
            <w:r w:rsidRPr="00A01D93">
              <w:rPr>
                <w:rFonts w:ascii="Calibri" w:hAnsi="Calibri"/>
                <w:sz w:val="22"/>
                <w:szCs w:val="22"/>
              </w:rPr>
              <w:t xml:space="preserve">Final </w:t>
            </w:r>
            <w:r w:rsidR="00C85528">
              <w:rPr>
                <w:rFonts w:ascii="Calibri" w:hAnsi="Calibri"/>
                <w:sz w:val="22"/>
                <w:szCs w:val="22"/>
              </w:rPr>
              <w:t>R</w:t>
            </w:r>
            <w:r w:rsidRPr="00A01D93">
              <w:rPr>
                <w:rFonts w:ascii="Calibri" w:hAnsi="Calibri"/>
                <w:sz w:val="22"/>
                <w:szCs w:val="22"/>
              </w:rPr>
              <w:t>eport</w:t>
            </w:r>
            <w:r w:rsidRPr="00D9006B">
              <w:rPr>
                <w:rFonts w:ascii="Calibri" w:hAnsi="Calibri"/>
                <w:sz w:val="22"/>
                <w:szCs w:val="22"/>
              </w:rPr>
              <w:t>.</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67DE9E5A" w14:textId="375EE884" w:rsidR="00C85528" w:rsidRDefault="00C85528" w:rsidP="00205488">
      <w:pPr>
        <w:ind w:left="720"/>
        <w:rPr>
          <w:rFonts w:ascii="Calibri" w:hAnsi="Calibri"/>
          <w:iCs/>
          <w:sz w:val="22"/>
          <w:szCs w:val="22"/>
        </w:rPr>
      </w:pPr>
    </w:p>
    <w:p w14:paraId="1A53EA87" w14:textId="7C4381FD" w:rsidR="0032360F" w:rsidRDefault="00F6774C" w:rsidP="00401AA7">
      <w:pPr>
        <w:pStyle w:val="ListParagraph"/>
        <w:numPr>
          <w:ilvl w:val="1"/>
          <w:numId w:val="46"/>
        </w:numPr>
        <w:spacing w:line="360" w:lineRule="auto"/>
        <w:ind w:left="1208" w:hanging="357"/>
        <w:rPr>
          <w:iCs/>
        </w:rPr>
      </w:pPr>
      <w:r>
        <w:rPr>
          <w:iCs/>
        </w:rPr>
        <w:t>A</w:t>
      </w:r>
      <w:r w:rsidR="0032360F">
        <w:rPr>
          <w:iCs/>
        </w:rPr>
        <w:t xml:space="preserve"> progress report</w:t>
      </w:r>
      <w:r w:rsidR="00721F05">
        <w:rPr>
          <w:iCs/>
        </w:rPr>
        <w:t xml:space="preserve"> at least 1 month before the mid-point of the </w:t>
      </w:r>
      <w:r w:rsidR="00C85528">
        <w:rPr>
          <w:iCs/>
        </w:rPr>
        <w:t>term of this Contract</w:t>
      </w:r>
      <w:r w:rsidR="00721F05">
        <w:rPr>
          <w:iCs/>
        </w:rPr>
        <w:t>, that covers the progress of the</w:t>
      </w:r>
      <w:r w:rsidR="00C85528">
        <w:rPr>
          <w:iCs/>
        </w:rPr>
        <w:t xml:space="preserve"> Project</w:t>
      </w:r>
      <w:r w:rsidR="00721F05">
        <w:rPr>
          <w:iCs/>
        </w:rPr>
        <w:t xml:space="preserve"> up to the last day of the month before the progress report is due</w:t>
      </w:r>
      <w:r w:rsidR="00C85528">
        <w:rPr>
          <w:iCs/>
        </w:rPr>
        <w:t xml:space="preserve"> (Progress Report)</w:t>
      </w:r>
      <w:r>
        <w:rPr>
          <w:iCs/>
        </w:rPr>
        <w:t>.</w:t>
      </w:r>
    </w:p>
    <w:p w14:paraId="2B960A68" w14:textId="3DEE336D" w:rsidR="005A0BB7" w:rsidRDefault="00F6774C" w:rsidP="00401AA7">
      <w:pPr>
        <w:pStyle w:val="ListParagraph"/>
        <w:numPr>
          <w:ilvl w:val="1"/>
          <w:numId w:val="46"/>
        </w:numPr>
        <w:spacing w:line="360" w:lineRule="auto"/>
        <w:ind w:left="1208" w:hanging="357"/>
        <w:rPr>
          <w:iCs/>
        </w:rPr>
      </w:pPr>
      <w:r>
        <w:rPr>
          <w:iCs/>
        </w:rPr>
        <w:t>A</w:t>
      </w:r>
      <w:r w:rsidR="00721F05">
        <w:rPr>
          <w:iCs/>
        </w:rPr>
        <w:t xml:space="preserve"> final report no later than 1 month after the End Date that covers the delivery of the </w:t>
      </w:r>
      <w:r w:rsidR="00C85528">
        <w:rPr>
          <w:iCs/>
        </w:rPr>
        <w:t>Project (Final Report)</w:t>
      </w:r>
      <w:r w:rsidR="00A01D93">
        <w:rPr>
          <w:iCs/>
        </w:rPr>
        <w:t>.</w:t>
      </w:r>
    </w:p>
    <w:p w14:paraId="73897B2D" w14:textId="77777777" w:rsidR="0032360F" w:rsidRPr="0032360F" w:rsidRDefault="0032360F" w:rsidP="00205488">
      <w:pPr>
        <w:ind w:left="720"/>
        <w:rPr>
          <w:rFonts w:ascii="Calibri" w:hAnsi="Calibri"/>
          <w:iCs/>
          <w:sz w:val="22"/>
          <w:szCs w:val="22"/>
        </w:rPr>
      </w:pP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7BD97EFD"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00EC7513">
        <w:rPr>
          <w:rFonts w:ascii="Calibri" w:hAnsi="Calibri" w:cs="Arial"/>
          <w:sz w:val="22"/>
          <w:szCs w:val="22"/>
        </w:rPr>
        <w:t>Each</w:t>
      </w:r>
      <w:r w:rsidRPr="00871D72">
        <w:rPr>
          <w:rFonts w:ascii="Calibri" w:hAnsi="Calibri" w:cs="Arial"/>
          <w:sz w:val="22"/>
          <w:szCs w:val="22"/>
        </w:rPr>
        <w:t xml:space="preserve"> report must include:</w:t>
      </w:r>
    </w:p>
    <w:p w14:paraId="1BF6314C" w14:textId="5555BD7B"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roofErr w:type="gramStart"/>
      <w:r w:rsidR="00A01D93" w:rsidRPr="00422FAA">
        <w:rPr>
          <w:rFonts w:ascii="Calibri" w:hAnsi="Calibri"/>
          <w:sz w:val="22"/>
          <w:szCs w:val="22"/>
        </w:rPr>
        <w:t>)</w:t>
      </w:r>
      <w:r w:rsidR="00A01D93">
        <w:rPr>
          <w:rFonts w:ascii="Calibri" w:hAnsi="Calibri"/>
          <w:sz w:val="22"/>
          <w:szCs w:val="22"/>
        </w:rPr>
        <w:t>;</w:t>
      </w:r>
      <w:proofErr w:type="gramEnd"/>
    </w:p>
    <w:p w14:paraId="501B4535" w14:textId="77777777" w:rsidR="00CE0B06" w:rsidRDefault="001B4C2B" w:rsidP="0045547F">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proofErr w:type="gramStart"/>
      <w:r w:rsidR="00152E48">
        <w:rPr>
          <w:rFonts w:ascii="Calibri" w:hAnsi="Calibri"/>
          <w:sz w:val="22"/>
          <w:szCs w:val="22"/>
        </w:rPr>
        <w:t>Contract</w:t>
      </w:r>
      <w:r w:rsidRPr="00422FAA">
        <w:rPr>
          <w:rFonts w:ascii="Calibri" w:hAnsi="Calibri"/>
          <w:sz w:val="22"/>
          <w:szCs w:val="22"/>
        </w:rPr>
        <w:t>;</w:t>
      </w:r>
      <w:proofErr w:type="gramEnd"/>
      <w:r w:rsidRPr="00422FAA">
        <w:rPr>
          <w:rFonts w:ascii="Calibri" w:hAnsi="Calibri"/>
          <w:sz w:val="22"/>
          <w:szCs w:val="22"/>
        </w:rPr>
        <w:t xml:space="preserve"> </w:t>
      </w:r>
    </w:p>
    <w:p w14:paraId="4EC1CE7D" w14:textId="44724D4F" w:rsidR="001B4C2B" w:rsidRPr="00422FAA" w:rsidRDefault="001B4C2B" w:rsidP="0093209C">
      <w:pPr>
        <w:numPr>
          <w:ilvl w:val="0"/>
          <w:numId w:val="10"/>
        </w:numPr>
        <w:tabs>
          <w:tab w:val="clear" w:pos="3011"/>
          <w:tab w:val="num" w:pos="1418"/>
        </w:tabs>
        <w:spacing w:after="200" w:line="360" w:lineRule="auto"/>
        <w:ind w:left="1208" w:hanging="357"/>
        <w:jc w:val="both"/>
        <w:rPr>
          <w:rFonts w:ascii="Calibri" w:hAnsi="Calibri"/>
          <w:sz w:val="22"/>
          <w:szCs w:val="22"/>
        </w:rPr>
      </w:pPr>
      <w:r w:rsidRPr="00422FAA">
        <w:rPr>
          <w:rFonts w:ascii="Calibri" w:hAnsi="Calibri"/>
          <w:sz w:val="22"/>
          <w:szCs w:val="22"/>
        </w:rPr>
        <w:t>a</w:t>
      </w:r>
      <w:r w:rsidR="00401AA7">
        <w:rPr>
          <w:rFonts w:ascii="Calibri" w:hAnsi="Calibri"/>
          <w:sz w:val="22"/>
          <w:szCs w:val="22"/>
        </w:rPr>
        <w:t xml:space="preserve"> co-development letter</w:t>
      </w:r>
      <w:r w:rsidR="0045547F">
        <w:rPr>
          <w:rFonts w:ascii="Calibri" w:hAnsi="Calibri"/>
          <w:sz w:val="22"/>
          <w:szCs w:val="22"/>
        </w:rPr>
        <w:t xml:space="preserve"> </w:t>
      </w:r>
      <w:r w:rsidR="00033E42">
        <w:rPr>
          <w:rFonts w:ascii="Calibri" w:hAnsi="Calibri"/>
          <w:sz w:val="22"/>
          <w:szCs w:val="22"/>
        </w:rPr>
        <w:t xml:space="preserve">signed by the Partner Organisation </w:t>
      </w:r>
      <w:r w:rsidR="0045547F">
        <w:rPr>
          <w:rFonts w:ascii="Calibri" w:hAnsi="Calibri"/>
          <w:sz w:val="22"/>
          <w:szCs w:val="22"/>
        </w:rPr>
        <w:t xml:space="preserve">stating the report has been prepared in conjunction with the Partner </w:t>
      </w:r>
      <w:r w:rsidR="00033E42">
        <w:rPr>
          <w:rFonts w:ascii="Calibri" w:hAnsi="Calibri"/>
          <w:sz w:val="22"/>
          <w:szCs w:val="22"/>
        </w:rPr>
        <w:t>O</w:t>
      </w:r>
      <w:r w:rsidR="0045547F">
        <w:rPr>
          <w:rFonts w:ascii="Calibri" w:hAnsi="Calibri"/>
          <w:sz w:val="22"/>
          <w:szCs w:val="22"/>
        </w:rPr>
        <w:t>rganisation and the</w:t>
      </w:r>
      <w:r w:rsidR="00033E42">
        <w:rPr>
          <w:rFonts w:ascii="Calibri" w:hAnsi="Calibri"/>
          <w:sz w:val="22"/>
          <w:szCs w:val="22"/>
        </w:rPr>
        <w:t xml:space="preserve"> Partner Organisation confirms</w:t>
      </w:r>
      <w:r w:rsidR="0045547F">
        <w:rPr>
          <w:rFonts w:ascii="Calibri" w:hAnsi="Calibri"/>
          <w:sz w:val="22"/>
          <w:szCs w:val="22"/>
        </w:rPr>
        <w:t xml:space="preserve"> </w:t>
      </w:r>
      <w:r w:rsidR="00EB45FC">
        <w:rPr>
          <w:rFonts w:ascii="Calibri" w:hAnsi="Calibri"/>
          <w:sz w:val="22"/>
          <w:szCs w:val="22"/>
        </w:rPr>
        <w:t xml:space="preserve">the </w:t>
      </w:r>
      <w:r w:rsidR="0045547F">
        <w:rPr>
          <w:rFonts w:ascii="Calibri" w:hAnsi="Calibri"/>
          <w:sz w:val="22"/>
          <w:szCs w:val="22"/>
        </w:rPr>
        <w:t xml:space="preserve">information contained </w:t>
      </w:r>
      <w:r w:rsidR="00F81B36">
        <w:rPr>
          <w:rFonts w:ascii="Calibri" w:hAnsi="Calibri"/>
          <w:sz w:val="22"/>
          <w:szCs w:val="22"/>
        </w:rPr>
        <w:t>with</w:t>
      </w:r>
      <w:r w:rsidR="0045547F">
        <w:rPr>
          <w:rFonts w:ascii="Calibri" w:hAnsi="Calibri"/>
          <w:sz w:val="22"/>
          <w:szCs w:val="22"/>
        </w:rPr>
        <w:t>in the report is accurate; and</w:t>
      </w:r>
    </w:p>
    <w:p w14:paraId="7C1B6268" w14:textId="25E602A8" w:rsidR="001871E1"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bookmarkEnd w:id="0"/>
    <w:p w14:paraId="6AEE8829" w14:textId="77777777" w:rsidR="00325F56" w:rsidRDefault="00325F56" w:rsidP="00325F56">
      <w:pPr>
        <w:pStyle w:val="CommentText"/>
        <w:rPr>
          <w:rFonts w:ascii="Calibri" w:hAnsi="Calibri" w:cs="Arial"/>
          <w:spacing w:val="-3"/>
          <w:sz w:val="22"/>
          <w:szCs w:val="22"/>
        </w:rPr>
      </w:pPr>
    </w:p>
    <w:p w14:paraId="0F135BED" w14:textId="58BA3EFE"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bookmarkStart w:id="1" w:name="_Hlk139959347"/>
      <w:r w:rsidRPr="00C97EE6">
        <w:rPr>
          <w:rFonts w:ascii="Calibri" w:eastAsia="Calibri" w:hAnsi="Calibri"/>
          <w:sz w:val="22"/>
          <w:szCs w:val="22"/>
          <w:lang w:eastAsia="en-US"/>
        </w:rPr>
        <w:t>1</w:t>
      </w:r>
      <w:r w:rsidR="00C83CC3">
        <w:rPr>
          <w:rFonts w:ascii="Calibri" w:eastAsia="Calibri" w:hAnsi="Calibri"/>
          <w:sz w:val="22"/>
          <w:szCs w:val="22"/>
          <w:lang w:eastAsia="en-US"/>
        </w:rPr>
        <w:t>2</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bookmarkEnd w:id="1"/>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lastRenderedPageBreak/>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default" r:id="rId10"/>
          <w:headerReference w:type="first" r:id="rId11"/>
          <w:footerReference w:type="first" r:id="rId12"/>
          <w:pgSz w:w="11907" w:h="16840" w:code="9"/>
          <w:pgMar w:top="1247" w:right="1247" w:bottom="851" w:left="1247" w:header="227" w:footer="680" w:gutter="0"/>
          <w:pgNumType w:start="1"/>
          <w:cols w:space="720"/>
          <w:titlePg/>
          <w:docGrid w:linePitch="326"/>
        </w:sectPr>
      </w:pPr>
    </w:p>
    <w:p w14:paraId="31EBA5A4" w14:textId="77777777" w:rsidR="00AB13A5" w:rsidRDefault="00AB13A5" w:rsidP="009E7859">
      <w:pPr>
        <w:jc w:val="center"/>
        <w:rPr>
          <w:rFonts w:ascii="Calibri" w:hAnsi="Calibri"/>
          <w:b/>
          <w:szCs w:val="24"/>
        </w:rPr>
      </w:pPr>
    </w:p>
    <w:p w14:paraId="2B79C489" w14:textId="77777777" w:rsidR="00C83CC3" w:rsidRDefault="00C83CC3" w:rsidP="009E7859">
      <w:pPr>
        <w:jc w:val="center"/>
        <w:rPr>
          <w:rFonts w:ascii="Calibri" w:hAnsi="Calibri"/>
          <w:b/>
          <w:szCs w:val="24"/>
        </w:rPr>
      </w:pPr>
    </w:p>
    <w:p w14:paraId="2C95C5DA" w14:textId="77777777" w:rsidR="00C83CC3" w:rsidRDefault="00C83CC3" w:rsidP="009E7859">
      <w:pPr>
        <w:jc w:val="center"/>
        <w:rPr>
          <w:rFonts w:ascii="Calibri" w:hAnsi="Calibri"/>
          <w:b/>
          <w:szCs w:val="24"/>
        </w:rPr>
      </w:pPr>
    </w:p>
    <w:p w14:paraId="47BCEC6D" w14:textId="4C27C141" w:rsidR="00C83CC3" w:rsidRDefault="00C83CC3" w:rsidP="00C83CC3">
      <w:pPr>
        <w:spacing w:after="200" w:line="360" w:lineRule="auto"/>
        <w:jc w:val="both"/>
        <w:rPr>
          <w:rFonts w:ascii="Calibri" w:hAnsi="Calibri"/>
          <w:b/>
          <w:bCs/>
          <w:sz w:val="22"/>
          <w:szCs w:val="22"/>
        </w:rPr>
      </w:pPr>
      <w:r>
        <w:rPr>
          <w:rFonts w:ascii="Calibri" w:hAnsi="Calibri"/>
          <w:sz w:val="22"/>
          <w:szCs w:val="22"/>
        </w:rPr>
        <w:t>13.</w:t>
      </w:r>
      <w:r>
        <w:rPr>
          <w:rFonts w:ascii="Calibri" w:hAnsi="Calibri"/>
          <w:sz w:val="22"/>
          <w:szCs w:val="22"/>
        </w:rPr>
        <w:tab/>
      </w:r>
      <w:r w:rsidRPr="00A323E0">
        <w:rPr>
          <w:rFonts w:ascii="Calibri" w:hAnsi="Calibri"/>
          <w:b/>
          <w:bCs/>
          <w:sz w:val="22"/>
          <w:szCs w:val="22"/>
        </w:rPr>
        <w:t xml:space="preserve">VCMF </w:t>
      </w:r>
      <w:r>
        <w:rPr>
          <w:rFonts w:ascii="Calibri" w:hAnsi="Calibri"/>
          <w:b/>
          <w:bCs/>
          <w:sz w:val="22"/>
          <w:szCs w:val="22"/>
        </w:rPr>
        <w:t>Special Conditions</w:t>
      </w:r>
    </w:p>
    <w:p w14:paraId="35C6E644" w14:textId="48A162F5" w:rsidR="00C83CC3" w:rsidRDefault="00C83CC3" w:rsidP="00C83CC3">
      <w:pPr>
        <w:spacing w:after="200" w:line="360" w:lineRule="auto"/>
        <w:jc w:val="both"/>
        <w:rPr>
          <w:rFonts w:ascii="Calibri" w:hAnsi="Calibri"/>
          <w:sz w:val="22"/>
          <w:szCs w:val="22"/>
        </w:rPr>
      </w:pPr>
      <w:r w:rsidRPr="00A323E0">
        <w:rPr>
          <w:rFonts w:ascii="Calibri" w:hAnsi="Calibri"/>
          <w:sz w:val="22"/>
          <w:szCs w:val="22"/>
        </w:rPr>
        <w:t>(a)</w:t>
      </w:r>
      <w:r>
        <w:rPr>
          <w:rFonts w:ascii="Calibri" w:hAnsi="Calibri"/>
          <w:sz w:val="22"/>
          <w:szCs w:val="22"/>
        </w:rPr>
        <w:tab/>
        <w:t>The Partner Organisation is:</w:t>
      </w:r>
    </w:p>
    <w:p w14:paraId="2A7CA249" w14:textId="77777777" w:rsidR="00C83CC3" w:rsidRPr="00555147" w:rsidRDefault="00C83CC3" w:rsidP="00C83CC3">
      <w:pPr>
        <w:spacing w:after="200" w:line="360" w:lineRule="auto"/>
        <w:jc w:val="both"/>
        <w:rPr>
          <w:rFonts w:ascii="Calibri" w:hAnsi="Calibri"/>
          <w:sz w:val="22"/>
          <w:szCs w:val="22"/>
        </w:rPr>
      </w:pPr>
      <w:r>
        <w:rPr>
          <w:rFonts w:ascii="Calibri" w:hAnsi="Calibri"/>
          <w:sz w:val="22"/>
          <w:szCs w:val="22"/>
        </w:rPr>
        <w:tab/>
        <w:t>[</w:t>
      </w:r>
      <w:r>
        <w:rPr>
          <w:rFonts w:ascii="Calibri" w:hAnsi="Calibri"/>
          <w:i/>
          <w:iCs/>
          <w:sz w:val="22"/>
          <w:szCs w:val="22"/>
        </w:rPr>
        <w:t>Insert name of each partner organisation</w:t>
      </w:r>
      <w:r>
        <w:rPr>
          <w:rFonts w:ascii="Calibri" w:hAnsi="Calibri"/>
          <w:sz w:val="22"/>
          <w:szCs w:val="22"/>
        </w:rPr>
        <w:t>]</w:t>
      </w:r>
    </w:p>
    <w:p w14:paraId="0A6A8D5C" w14:textId="652B2173" w:rsidR="00C83CC3" w:rsidRDefault="00C83CC3" w:rsidP="00A323E0">
      <w:pPr>
        <w:spacing w:after="200" w:line="360" w:lineRule="auto"/>
        <w:ind w:left="720" w:hanging="720"/>
        <w:jc w:val="both"/>
        <w:rPr>
          <w:rFonts w:ascii="Calibri" w:hAnsi="Calibri"/>
          <w:sz w:val="22"/>
          <w:szCs w:val="22"/>
        </w:rPr>
      </w:pPr>
      <w:r>
        <w:rPr>
          <w:rFonts w:ascii="Calibri" w:hAnsi="Calibri"/>
          <w:sz w:val="22"/>
          <w:szCs w:val="22"/>
        </w:rPr>
        <w:t>(b)</w:t>
      </w:r>
      <w:r>
        <w:rPr>
          <w:rFonts w:ascii="Calibri" w:hAnsi="Calibri"/>
          <w:sz w:val="22"/>
          <w:szCs w:val="22"/>
        </w:rPr>
        <w:tab/>
        <w:t xml:space="preserve">The Contractor must work collaboratively with </w:t>
      </w:r>
      <w:r w:rsidR="00E81206">
        <w:rPr>
          <w:rFonts w:ascii="Calibri" w:hAnsi="Calibri"/>
          <w:sz w:val="22"/>
          <w:szCs w:val="22"/>
        </w:rPr>
        <w:t>each</w:t>
      </w:r>
      <w:r>
        <w:rPr>
          <w:rFonts w:ascii="Calibri" w:hAnsi="Calibri"/>
          <w:sz w:val="22"/>
          <w:szCs w:val="22"/>
        </w:rPr>
        <w:t xml:space="preserve"> Partner Organisation to complete the Project and achieve the Project Outcomes.</w:t>
      </w:r>
    </w:p>
    <w:p w14:paraId="34BDB6CC" w14:textId="662C474B" w:rsidR="00C83CC3" w:rsidRDefault="00E81206" w:rsidP="00C83CC3">
      <w:pPr>
        <w:spacing w:after="200" w:line="360" w:lineRule="auto"/>
        <w:jc w:val="both"/>
        <w:rPr>
          <w:rFonts w:ascii="Calibri" w:hAnsi="Calibri"/>
          <w:sz w:val="22"/>
          <w:szCs w:val="22"/>
        </w:rPr>
      </w:pPr>
      <w:r>
        <w:rPr>
          <w:rFonts w:ascii="Calibri" w:hAnsi="Calibri"/>
          <w:sz w:val="22"/>
          <w:szCs w:val="22"/>
        </w:rPr>
        <w:t>(c)</w:t>
      </w:r>
      <w:r>
        <w:rPr>
          <w:rFonts w:ascii="Calibri" w:hAnsi="Calibri"/>
          <w:sz w:val="22"/>
          <w:szCs w:val="22"/>
        </w:rPr>
        <w:tab/>
      </w:r>
      <w:r w:rsidR="00C83CC3">
        <w:rPr>
          <w:rFonts w:ascii="Calibri" w:hAnsi="Calibri"/>
          <w:sz w:val="22"/>
          <w:szCs w:val="22"/>
        </w:rPr>
        <w:t>The Project Team is:</w:t>
      </w:r>
    </w:p>
    <w:p w14:paraId="6D1A88AC" w14:textId="77777777" w:rsidR="00C83CC3" w:rsidRPr="00555147" w:rsidRDefault="00C83CC3" w:rsidP="00C83CC3">
      <w:pPr>
        <w:spacing w:after="200" w:line="360" w:lineRule="auto"/>
        <w:jc w:val="both"/>
        <w:rPr>
          <w:rFonts w:ascii="Calibri" w:hAnsi="Calibri"/>
          <w:sz w:val="22"/>
          <w:szCs w:val="22"/>
        </w:rPr>
      </w:pPr>
      <w:r>
        <w:rPr>
          <w:rFonts w:ascii="Calibri" w:hAnsi="Calibri"/>
          <w:sz w:val="22"/>
          <w:szCs w:val="22"/>
        </w:rPr>
        <w:tab/>
        <w:t>[</w:t>
      </w:r>
      <w:r>
        <w:rPr>
          <w:rFonts w:ascii="Calibri" w:hAnsi="Calibri"/>
          <w:i/>
          <w:iCs/>
          <w:sz w:val="22"/>
          <w:szCs w:val="22"/>
        </w:rPr>
        <w:t>Insert details of project team from the proposal</w:t>
      </w:r>
      <w:r>
        <w:rPr>
          <w:rFonts w:ascii="Calibri" w:hAnsi="Calibri"/>
          <w:sz w:val="22"/>
          <w:szCs w:val="22"/>
        </w:rPr>
        <w:t>]</w:t>
      </w:r>
    </w:p>
    <w:p w14:paraId="2DFA2326" w14:textId="77777777" w:rsidR="00C83CC3" w:rsidRDefault="00C83CC3" w:rsidP="00C83CC3">
      <w:pPr>
        <w:spacing w:after="200" w:line="360" w:lineRule="auto"/>
        <w:jc w:val="both"/>
        <w:rPr>
          <w:rFonts w:ascii="Calibri" w:hAnsi="Calibri"/>
          <w:sz w:val="22"/>
          <w:szCs w:val="22"/>
        </w:rPr>
      </w:pPr>
      <w:r>
        <w:rPr>
          <w:rFonts w:ascii="Calibri" w:hAnsi="Calibri"/>
          <w:sz w:val="22"/>
          <w:szCs w:val="22"/>
        </w:rPr>
        <w:t>(d)</w:t>
      </w:r>
      <w:r>
        <w:rPr>
          <w:rFonts w:ascii="Calibri" w:hAnsi="Calibri"/>
          <w:sz w:val="22"/>
          <w:szCs w:val="22"/>
        </w:rPr>
        <w:tab/>
        <w:t>The Contractor must ensure that the Project is carried out by the Project Team.</w:t>
      </w:r>
    </w:p>
    <w:p w14:paraId="70233B99" w14:textId="77777777" w:rsidR="00C83CC3" w:rsidRDefault="00C83CC3" w:rsidP="00A323E0">
      <w:pPr>
        <w:spacing w:after="200" w:line="360" w:lineRule="auto"/>
        <w:ind w:left="720" w:hanging="720"/>
        <w:jc w:val="both"/>
        <w:rPr>
          <w:rFonts w:ascii="Calibri" w:hAnsi="Calibri"/>
          <w:sz w:val="22"/>
          <w:szCs w:val="22"/>
        </w:rPr>
      </w:pPr>
      <w:r>
        <w:rPr>
          <w:rFonts w:ascii="Calibri" w:hAnsi="Calibri"/>
          <w:sz w:val="22"/>
          <w:szCs w:val="22"/>
        </w:rPr>
        <w:t>(e)</w:t>
      </w:r>
      <w:r>
        <w:rPr>
          <w:rFonts w:ascii="Calibri" w:hAnsi="Calibri"/>
          <w:sz w:val="22"/>
          <w:szCs w:val="22"/>
        </w:rPr>
        <w:tab/>
        <w:t>For the purposes of clause 13.2 of Schedule 2, the Ministry approves the following subcontractors in relation to the Project:</w:t>
      </w:r>
    </w:p>
    <w:p w14:paraId="12B251C6" w14:textId="5BC971CE" w:rsidR="00C83CC3" w:rsidRDefault="00C83CC3" w:rsidP="001C4151">
      <w:pPr>
        <w:spacing w:after="200" w:line="360" w:lineRule="auto"/>
        <w:ind w:left="720"/>
        <w:jc w:val="both"/>
        <w:rPr>
          <w:rFonts w:ascii="Calibri" w:hAnsi="Calibri"/>
          <w:sz w:val="22"/>
          <w:szCs w:val="22"/>
        </w:rPr>
      </w:pPr>
      <w:r>
        <w:rPr>
          <w:rFonts w:ascii="Calibri" w:hAnsi="Calibri"/>
          <w:sz w:val="22"/>
          <w:szCs w:val="22"/>
        </w:rPr>
        <w:t>[</w:t>
      </w:r>
      <w:r>
        <w:rPr>
          <w:rFonts w:ascii="Calibri" w:hAnsi="Calibri"/>
          <w:i/>
          <w:iCs/>
          <w:sz w:val="22"/>
          <w:szCs w:val="22"/>
        </w:rPr>
        <w:t>Insert details of subcontractor and the nature of their involvement in the Project from the proposal</w:t>
      </w:r>
      <w:r>
        <w:rPr>
          <w:rFonts w:ascii="Calibri" w:hAnsi="Calibri"/>
          <w:sz w:val="22"/>
          <w:szCs w:val="22"/>
        </w:rPr>
        <w:t>].</w:t>
      </w:r>
    </w:p>
    <w:p w14:paraId="4A62E983" w14:textId="345654B9" w:rsidR="00E81206" w:rsidRDefault="00E81206" w:rsidP="00E81206">
      <w:pPr>
        <w:autoSpaceDE w:val="0"/>
        <w:autoSpaceDN w:val="0"/>
        <w:adjustRightInd w:val="0"/>
        <w:spacing w:after="120" w:line="360" w:lineRule="auto"/>
        <w:ind w:left="720" w:hanging="720"/>
        <w:jc w:val="both"/>
        <w:rPr>
          <w:rFonts w:ascii="Calibri" w:hAnsi="Calibri" w:cs="Arial"/>
          <w:sz w:val="22"/>
          <w:szCs w:val="22"/>
        </w:rPr>
      </w:pPr>
      <w:r>
        <w:rPr>
          <w:rFonts w:ascii="Calibri" w:hAnsi="Calibri"/>
          <w:sz w:val="22"/>
          <w:szCs w:val="22"/>
        </w:rPr>
        <w:t>(f)</w:t>
      </w:r>
      <w:r>
        <w:rPr>
          <w:rFonts w:ascii="Calibri" w:hAnsi="Calibri"/>
          <w:sz w:val="22"/>
          <w:szCs w:val="22"/>
        </w:rPr>
        <w:tab/>
        <w:t xml:space="preserve">In addition to the termination events listed in clause 4.3 of Schedule 2, </w:t>
      </w:r>
      <w:r>
        <w:rPr>
          <w:rFonts w:ascii="Calibri" w:hAnsi="Calibri" w:cs="Arial"/>
          <w:sz w:val="22"/>
          <w:szCs w:val="22"/>
        </w:rPr>
        <w:t>t</w:t>
      </w:r>
      <w:r w:rsidRPr="00F515FC">
        <w:rPr>
          <w:rFonts w:ascii="Calibri" w:hAnsi="Calibri" w:cs="Arial"/>
          <w:sz w:val="22"/>
          <w:szCs w:val="22"/>
        </w:rPr>
        <w:t xml:space="preserve">he Ministry may terminate this </w:t>
      </w:r>
      <w:r>
        <w:rPr>
          <w:rFonts w:ascii="Calibri" w:hAnsi="Calibri" w:cs="Arial"/>
          <w:sz w:val="22"/>
          <w:szCs w:val="22"/>
        </w:rPr>
        <w:t>Contract</w:t>
      </w:r>
      <w:r w:rsidRPr="00F515FC">
        <w:rPr>
          <w:rFonts w:ascii="Calibri" w:hAnsi="Calibri" w:cs="Arial"/>
          <w:sz w:val="22"/>
          <w:szCs w:val="22"/>
        </w:rPr>
        <w:t xml:space="preserve"> immediately by giving notice to the </w:t>
      </w:r>
      <w:r>
        <w:rPr>
          <w:rFonts w:ascii="Calibri" w:hAnsi="Calibri" w:cs="Arial"/>
          <w:sz w:val="22"/>
          <w:szCs w:val="22"/>
        </w:rPr>
        <w:t>Contractor</w:t>
      </w:r>
      <w:r w:rsidRPr="00F515FC">
        <w:rPr>
          <w:rFonts w:ascii="Calibri" w:hAnsi="Calibri" w:cs="Arial"/>
          <w:sz w:val="22"/>
          <w:szCs w:val="22"/>
        </w:rPr>
        <w:t xml:space="preserve">, </w:t>
      </w:r>
      <w:r>
        <w:rPr>
          <w:rFonts w:ascii="Calibri" w:hAnsi="Calibri" w:cs="Arial"/>
          <w:sz w:val="22"/>
          <w:szCs w:val="22"/>
        </w:rPr>
        <w:t xml:space="preserve">if a Partner Organisation ceases to participate in the Project or becomes insolvent, </w:t>
      </w:r>
      <w:proofErr w:type="gramStart"/>
      <w:r>
        <w:rPr>
          <w:rFonts w:ascii="Calibri" w:hAnsi="Calibri" w:cs="Arial"/>
          <w:sz w:val="22"/>
          <w:szCs w:val="22"/>
        </w:rPr>
        <w:t>bankrupt</w:t>
      </w:r>
      <w:proofErr w:type="gramEnd"/>
      <w:r>
        <w:rPr>
          <w:rFonts w:ascii="Calibri" w:hAnsi="Calibri" w:cs="Arial"/>
          <w:sz w:val="22"/>
          <w:szCs w:val="22"/>
        </w:rPr>
        <w:t xml:space="preserve"> or subject to any form of insolvency action or administration.</w:t>
      </w:r>
    </w:p>
    <w:p w14:paraId="6EFD1C5D" w14:textId="138B4A9F" w:rsidR="001C4151" w:rsidRDefault="001C4151" w:rsidP="001C4151">
      <w:pPr>
        <w:autoSpaceDE w:val="0"/>
        <w:autoSpaceDN w:val="0"/>
        <w:adjustRightInd w:val="0"/>
        <w:spacing w:after="120" w:line="360" w:lineRule="auto"/>
        <w:ind w:left="720" w:hanging="720"/>
        <w:jc w:val="both"/>
        <w:rPr>
          <w:rFonts w:ascii="Calibri" w:hAnsi="Calibri" w:cs="Arial"/>
          <w:color w:val="000000"/>
          <w:sz w:val="22"/>
          <w:szCs w:val="22"/>
        </w:rPr>
      </w:pPr>
      <w:r>
        <w:rPr>
          <w:rFonts w:ascii="Calibri" w:hAnsi="Calibri" w:cs="Arial"/>
          <w:color w:val="000000"/>
          <w:sz w:val="22"/>
          <w:szCs w:val="22"/>
        </w:rPr>
        <w:t>(g)</w:t>
      </w:r>
      <w:r>
        <w:rPr>
          <w:rFonts w:ascii="Calibri" w:hAnsi="Calibri" w:cs="Arial"/>
          <w:color w:val="000000"/>
          <w:sz w:val="22"/>
          <w:szCs w:val="22"/>
        </w:rPr>
        <w:tab/>
        <w:t>For the avoidance of doubt, the definition of “Confidential Information” in Schedule 2 does not include the name of the Partner Organisation.</w:t>
      </w:r>
    </w:p>
    <w:p w14:paraId="61BA8376" w14:textId="0C2FF0B9" w:rsidR="00C27DC9" w:rsidRPr="00C27DC9" w:rsidRDefault="00C27DC9" w:rsidP="00C27DC9">
      <w:pPr>
        <w:autoSpaceDE w:val="0"/>
        <w:autoSpaceDN w:val="0"/>
        <w:adjustRightInd w:val="0"/>
        <w:spacing w:after="120" w:line="360" w:lineRule="auto"/>
        <w:ind w:left="720" w:hanging="720"/>
        <w:jc w:val="both"/>
        <w:rPr>
          <w:rFonts w:ascii="Calibri" w:hAnsi="Calibri"/>
          <w:sz w:val="22"/>
          <w:szCs w:val="22"/>
        </w:rPr>
      </w:pPr>
      <w:r>
        <w:rPr>
          <w:rFonts w:ascii="Calibri" w:hAnsi="Calibri"/>
          <w:sz w:val="22"/>
          <w:szCs w:val="22"/>
        </w:rPr>
        <w:t>(h)</w:t>
      </w:r>
      <w:r>
        <w:rPr>
          <w:rFonts w:ascii="Calibri" w:hAnsi="Calibri"/>
          <w:sz w:val="22"/>
          <w:szCs w:val="22"/>
        </w:rPr>
        <w:tab/>
      </w:r>
      <w:r w:rsidRPr="00C27DC9">
        <w:rPr>
          <w:rFonts w:ascii="Calibri" w:hAnsi="Calibri" w:cs="Arial"/>
          <w:color w:val="000000"/>
          <w:sz w:val="22"/>
          <w:szCs w:val="22"/>
        </w:rPr>
        <w:t>Clause 8.6 is deleted in its entirety</w:t>
      </w:r>
      <w:r>
        <w:rPr>
          <w:rFonts w:ascii="Calibri" w:hAnsi="Calibri" w:cs="Arial"/>
          <w:color w:val="000000"/>
          <w:sz w:val="22"/>
          <w:szCs w:val="22"/>
        </w:rPr>
        <w:t>.</w:t>
      </w:r>
    </w:p>
    <w:p w14:paraId="5A1FC992" w14:textId="4FA52872" w:rsidR="00E81206" w:rsidRPr="00C83CC3" w:rsidRDefault="00E81206" w:rsidP="00A323E0">
      <w:pPr>
        <w:spacing w:after="200" w:line="360" w:lineRule="auto"/>
        <w:ind w:left="720" w:hanging="720"/>
        <w:jc w:val="both"/>
        <w:rPr>
          <w:rFonts w:ascii="Calibri" w:hAnsi="Calibri"/>
          <w:sz w:val="22"/>
          <w:szCs w:val="22"/>
        </w:rPr>
      </w:pPr>
    </w:p>
    <w:p w14:paraId="2A4E245F" w14:textId="77777777" w:rsidR="00C83CC3" w:rsidRDefault="00C83CC3" w:rsidP="009E7859">
      <w:pPr>
        <w:jc w:val="center"/>
        <w:rPr>
          <w:rFonts w:ascii="Calibri" w:hAnsi="Calibri"/>
          <w:b/>
          <w:szCs w:val="24"/>
        </w:rPr>
      </w:pPr>
    </w:p>
    <w:p w14:paraId="7C077320" w14:textId="012CAF4F" w:rsidR="00C83CC3" w:rsidRDefault="00C83CC3" w:rsidP="009E7859">
      <w:pPr>
        <w:jc w:val="center"/>
        <w:rPr>
          <w:rFonts w:ascii="Calibri" w:hAnsi="Calibri"/>
          <w:b/>
          <w:szCs w:val="24"/>
        </w:rPr>
        <w:sectPr w:rsidR="00C83CC3" w:rsidSect="00C83CC3">
          <w:headerReference w:type="even" r:id="rId13"/>
          <w:headerReference w:type="default" r:id="rId14"/>
          <w:footerReference w:type="default" r:id="rId15"/>
          <w:headerReference w:type="first" r:id="rId16"/>
          <w:footerReference w:type="first" r:id="rId17"/>
          <w:type w:val="continuous"/>
          <w:pgSz w:w="11907" w:h="16840" w:code="9"/>
          <w:pgMar w:top="1247" w:right="1247" w:bottom="1247" w:left="1247" w:header="720" w:footer="720" w:gutter="0"/>
          <w:cols w:space="720"/>
          <w:docGrid w:linePitch="326"/>
        </w:sectPr>
      </w:pPr>
    </w:p>
    <w:p w14:paraId="4ADE3A8D" w14:textId="77777777" w:rsidR="008C3116" w:rsidRDefault="00152E48" w:rsidP="008C3116">
      <w:pPr>
        <w:keepNext/>
        <w:tabs>
          <w:tab w:val="left" w:pos="567"/>
        </w:tabs>
        <w:spacing w:after="120"/>
        <w:jc w:val="both"/>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7E6A30C7" w:rsidR="009E7859" w:rsidRPr="00F515FC" w:rsidRDefault="009E7859" w:rsidP="008C3116">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5D5770">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4D55C780" w:rsidR="00384CDB" w:rsidRPr="00940462"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2CD6BB19"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3000BE3D"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4328900F" w14:textId="4951887C" w:rsidR="00D469DC" w:rsidRPr="00D469D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2"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2"/>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35BBD67A"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54300032"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340FE9C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has given or gives any information to the Ministry which is misleading or inaccurate in any material respect; </w:t>
      </w:r>
      <w:r w:rsidR="00E81206">
        <w:rPr>
          <w:rFonts w:ascii="Calibri" w:hAnsi="Calibri" w:cs="Arial"/>
          <w:color w:val="000000"/>
          <w:sz w:val="22"/>
          <w:szCs w:val="22"/>
        </w:rPr>
        <w:t>or</w:t>
      </w:r>
    </w:p>
    <w:p w14:paraId="1DDCB32F" w14:textId="69B837FC" w:rsidR="0042206F"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r w:rsidR="00E81206">
        <w:rPr>
          <w:rFonts w:ascii="Calibri" w:hAnsi="Calibri" w:cs="Arial"/>
          <w:color w:val="000000"/>
          <w:sz w:val="22"/>
          <w:szCs w:val="22"/>
        </w:rPr>
        <w:t>.</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1C09353E"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72198137"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w:t>
      </w:r>
      <w:r w:rsidR="00A12100">
        <w:rPr>
          <w:rFonts w:cs="Arial"/>
        </w:rPr>
        <w:t xml:space="preserve">any </w:t>
      </w:r>
      <w:r w:rsidR="00C45C9D">
        <w:rPr>
          <w:rFonts w:cs="Arial"/>
        </w:rPr>
        <w:t xml:space="preserve">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w:t>
      </w:r>
      <w:r w:rsidR="00D8271D" w:rsidRPr="00D8271D">
        <w:rPr>
          <w:rFonts w:ascii="Calibri" w:hAnsi="Calibri" w:cs="Arial"/>
          <w:sz w:val="22"/>
          <w:szCs w:val="22"/>
        </w:rPr>
        <w:t xml:space="preserve">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w:t>
      </w:r>
      <w:r w:rsidR="003239A6">
        <w:rPr>
          <w:rFonts w:ascii="Calibri" w:hAnsi="Calibri" w:cs="Arial"/>
          <w:sz w:val="22"/>
          <w:szCs w:val="22"/>
        </w:rPr>
        <w:lastRenderedPageBreak/>
        <w:t xml:space="preserve">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 xml:space="preserve">The Ministry, as an organisation responsible for distributing public funds for research, </w:t>
      </w:r>
      <w:proofErr w:type="gramStart"/>
      <w:r>
        <w:rPr>
          <w:rFonts w:ascii="Calibri" w:hAnsi="Calibri" w:cs="Arial"/>
          <w:sz w:val="22"/>
          <w:szCs w:val="22"/>
        </w:rPr>
        <w:t>science</w:t>
      </w:r>
      <w:proofErr w:type="gramEnd"/>
      <w:r>
        <w:rPr>
          <w:rFonts w:ascii="Calibri" w:hAnsi="Calibri" w:cs="Arial"/>
          <w:sz w:val="22"/>
          <w:szCs w:val="22"/>
        </w:rPr>
        <w:t xml:space="preserv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lastRenderedPageBreak/>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Pr="00F515FC">
        <w:rPr>
          <w:rFonts w:ascii="Calibri" w:hAnsi="Calibri" w:cs="Arial"/>
          <w:spacing w:val="-3"/>
          <w:sz w:val="22"/>
          <w:szCs w:val="22"/>
        </w:rPr>
        <w:t xml:space="preserve">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2757C85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A12100">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lastRenderedPageBreak/>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 xml:space="preserve">copies) </w:t>
      </w:r>
      <w:r w:rsidRPr="00F515FC">
        <w:rPr>
          <w:rFonts w:ascii="Calibri" w:hAnsi="Calibri" w:cs="Arial"/>
          <w:spacing w:val="-3"/>
          <w:sz w:val="22"/>
          <w:szCs w:val="22"/>
        </w:rPr>
        <w:t>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5D5770">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53106B49" w:rsidR="00994014" w:rsidRDefault="00994014">
      <w:pPr>
        <w:rPr>
          <w:rFonts w:ascii="Calibri" w:hAnsi="Calibri"/>
          <w:sz w:val="22"/>
          <w:szCs w:val="22"/>
        </w:rPr>
      </w:pPr>
      <w:r>
        <w:rPr>
          <w:rFonts w:ascii="Calibri" w:hAnsi="Calibri"/>
          <w:sz w:val="22"/>
          <w:szCs w:val="22"/>
        </w:rPr>
        <w:br w:type="page"/>
      </w:r>
    </w:p>
    <w:p w14:paraId="1EA6DD76" w14:textId="77777777" w:rsidR="00F45E75" w:rsidRDefault="00994014" w:rsidP="00994014">
      <w:pPr>
        <w:jc w:val="center"/>
        <w:rPr>
          <w:rFonts w:cs="Arial"/>
          <w:b/>
          <w:bCs/>
          <w:sz w:val="20"/>
          <w:lang w:eastAsia="en-US"/>
        </w:rPr>
      </w:pPr>
      <w:r w:rsidRPr="00C747FD">
        <w:rPr>
          <w:rFonts w:cs="Arial"/>
          <w:b/>
          <w:bCs/>
          <w:sz w:val="20"/>
          <w:lang w:eastAsia="en-US"/>
        </w:rPr>
        <w:lastRenderedPageBreak/>
        <w:t xml:space="preserve">APPENDIX </w:t>
      </w:r>
      <w:r>
        <w:rPr>
          <w:rFonts w:cs="Arial"/>
          <w:b/>
          <w:bCs/>
          <w:sz w:val="20"/>
          <w:lang w:eastAsia="en-US"/>
        </w:rPr>
        <w:t>2</w:t>
      </w:r>
      <w:r w:rsidRPr="00C747FD">
        <w:rPr>
          <w:rFonts w:cs="Arial"/>
          <w:b/>
          <w:bCs/>
          <w:sz w:val="20"/>
          <w:lang w:eastAsia="en-US"/>
        </w:rPr>
        <w:t xml:space="preserve"> – </w:t>
      </w:r>
      <w:r w:rsidR="00F45E75">
        <w:rPr>
          <w:rFonts w:cs="Arial"/>
          <w:b/>
          <w:bCs/>
          <w:sz w:val="20"/>
          <w:lang w:eastAsia="en-US"/>
        </w:rPr>
        <w:t>Project Plan</w:t>
      </w:r>
    </w:p>
    <w:p w14:paraId="65653375" w14:textId="77777777" w:rsidR="00F45E75" w:rsidRDefault="00F45E75" w:rsidP="00994014">
      <w:pPr>
        <w:jc w:val="center"/>
        <w:rPr>
          <w:rFonts w:cs="Arial"/>
          <w:b/>
          <w:bCs/>
          <w:sz w:val="20"/>
          <w:lang w:eastAsia="en-US"/>
        </w:rPr>
      </w:pPr>
    </w:p>
    <w:p w14:paraId="33D24D73" w14:textId="3C5BF2FA" w:rsidR="00F45E75" w:rsidRDefault="00F45E75" w:rsidP="00365AED">
      <w:pPr>
        <w:pStyle w:val="ListParagraph"/>
        <w:numPr>
          <w:ilvl w:val="0"/>
          <w:numId w:val="44"/>
        </w:numPr>
        <w:rPr>
          <w:b/>
        </w:rPr>
      </w:pPr>
      <w:r>
        <w:rPr>
          <w:b/>
        </w:rPr>
        <w:t>Impact Statement</w:t>
      </w:r>
      <w:r w:rsidR="00C114DF">
        <w:rPr>
          <w:b/>
        </w:rPr>
        <w:t xml:space="preserve">: </w:t>
      </w:r>
      <w:r w:rsidR="00E115A3" w:rsidRPr="0099044E">
        <w:rPr>
          <w:b/>
          <w:highlight w:val="yellow"/>
        </w:rPr>
        <w:t>[</w:t>
      </w:r>
      <w:r w:rsidR="00C114DF" w:rsidRPr="0099044E">
        <w:rPr>
          <w:b/>
          <w:highlight w:val="yellow"/>
        </w:rPr>
        <w:t>XX</w:t>
      </w:r>
      <w:r w:rsidR="00E115A3" w:rsidRPr="0099044E">
        <w:rPr>
          <w:b/>
          <w:highlight w:val="yellow"/>
        </w:rPr>
        <w:t>]</w:t>
      </w:r>
    </w:p>
    <w:p w14:paraId="49105A66" w14:textId="4E0A8345" w:rsidR="00C114DF" w:rsidRDefault="00C114DF" w:rsidP="00365AED">
      <w:pPr>
        <w:pStyle w:val="ListParagraph"/>
        <w:numPr>
          <w:ilvl w:val="1"/>
          <w:numId w:val="44"/>
        </w:numPr>
        <w:rPr>
          <w:b/>
        </w:rPr>
      </w:pPr>
      <w:r>
        <w:rPr>
          <w:b/>
        </w:rPr>
        <w:t>Impact statement title</w:t>
      </w:r>
    </w:p>
    <w:p w14:paraId="045ADA57" w14:textId="7E10F0EC" w:rsidR="00C114DF" w:rsidRDefault="00C114DF" w:rsidP="00F91D04">
      <w:pPr>
        <w:pStyle w:val="ListParagraph"/>
        <w:numPr>
          <w:ilvl w:val="1"/>
          <w:numId w:val="44"/>
        </w:numPr>
        <w:rPr>
          <w:b/>
        </w:rPr>
      </w:pPr>
      <w:r>
        <w:rPr>
          <w:b/>
        </w:rPr>
        <w:t>Impact statement</w:t>
      </w:r>
    </w:p>
    <w:p w14:paraId="6AF77CB3" w14:textId="0E80DCC5" w:rsidR="00C114DF" w:rsidRDefault="00C114DF" w:rsidP="00365AED">
      <w:pPr>
        <w:pStyle w:val="ListParagraph"/>
        <w:numPr>
          <w:ilvl w:val="1"/>
          <w:numId w:val="44"/>
        </w:numPr>
        <w:rPr>
          <w:b/>
        </w:rPr>
      </w:pPr>
      <w:r>
        <w:rPr>
          <w:b/>
        </w:rPr>
        <w:t>Start date:</w:t>
      </w:r>
      <w:r w:rsidR="00E115A3">
        <w:rPr>
          <w:b/>
        </w:rPr>
        <w:t xml:space="preserve"> </w:t>
      </w:r>
      <w:r w:rsidR="00E115A3" w:rsidRPr="0099044E">
        <w:rPr>
          <w:b/>
          <w:highlight w:val="yellow"/>
        </w:rPr>
        <w:t>[XX]</w:t>
      </w:r>
    </w:p>
    <w:p w14:paraId="10E5267F" w14:textId="1574AD39" w:rsidR="00C114DF" w:rsidRDefault="00C114DF" w:rsidP="00C114DF">
      <w:pPr>
        <w:pStyle w:val="ListParagraph"/>
        <w:numPr>
          <w:ilvl w:val="1"/>
          <w:numId w:val="44"/>
        </w:numPr>
        <w:rPr>
          <w:b/>
        </w:rPr>
      </w:pPr>
      <w:r>
        <w:rPr>
          <w:b/>
        </w:rPr>
        <w:t>End date:</w:t>
      </w:r>
      <w:r w:rsidR="00E115A3">
        <w:rPr>
          <w:b/>
        </w:rPr>
        <w:t xml:space="preserve"> </w:t>
      </w:r>
      <w:r w:rsidR="00E115A3" w:rsidRPr="0099044E">
        <w:rPr>
          <w:b/>
          <w:highlight w:val="yellow"/>
        </w:rPr>
        <w:t>[XX]</w:t>
      </w:r>
    </w:p>
    <w:p w14:paraId="03B9F2F8" w14:textId="296F1E95" w:rsidR="00F45E75" w:rsidRDefault="00F45E75" w:rsidP="00365AED">
      <w:pPr>
        <w:pStyle w:val="ListParagraph"/>
        <w:numPr>
          <w:ilvl w:val="0"/>
          <w:numId w:val="44"/>
        </w:numPr>
        <w:rPr>
          <w:b/>
        </w:rPr>
      </w:pPr>
      <w:r>
        <w:rPr>
          <w:b/>
        </w:rPr>
        <w:t>Research Aim</w:t>
      </w:r>
      <w:r w:rsidR="00C114DF">
        <w:rPr>
          <w:b/>
        </w:rPr>
        <w:t xml:space="preserve">: </w:t>
      </w:r>
      <w:r w:rsidR="00E115A3" w:rsidRPr="0099044E">
        <w:rPr>
          <w:b/>
          <w:highlight w:val="yellow"/>
        </w:rPr>
        <w:t>[</w:t>
      </w:r>
      <w:r w:rsidR="00C114DF" w:rsidRPr="0099044E">
        <w:rPr>
          <w:b/>
          <w:highlight w:val="yellow"/>
        </w:rPr>
        <w:t>XX</w:t>
      </w:r>
      <w:r w:rsidR="00E115A3" w:rsidRPr="0099044E">
        <w:rPr>
          <w:b/>
          <w:highlight w:val="yellow"/>
        </w:rPr>
        <w:t>]</w:t>
      </w:r>
    </w:p>
    <w:p w14:paraId="024D9574" w14:textId="58C68224" w:rsidR="00C114DF" w:rsidRDefault="00C114DF" w:rsidP="00365AED">
      <w:pPr>
        <w:pStyle w:val="ListParagraph"/>
        <w:numPr>
          <w:ilvl w:val="1"/>
          <w:numId w:val="44"/>
        </w:numPr>
        <w:rPr>
          <w:b/>
        </w:rPr>
      </w:pPr>
      <w:r>
        <w:rPr>
          <w:b/>
        </w:rPr>
        <w:t xml:space="preserve">Research </w:t>
      </w:r>
      <w:proofErr w:type="gramStart"/>
      <w:r>
        <w:rPr>
          <w:b/>
        </w:rPr>
        <w:t>aim</w:t>
      </w:r>
      <w:proofErr w:type="gramEnd"/>
      <w:r>
        <w:rPr>
          <w:b/>
        </w:rPr>
        <w:t xml:space="preserve"> title</w:t>
      </w:r>
    </w:p>
    <w:p w14:paraId="527B8355" w14:textId="2A30421E" w:rsidR="00C114DF" w:rsidRDefault="00C114DF" w:rsidP="00365AED">
      <w:pPr>
        <w:pStyle w:val="ListParagraph"/>
        <w:numPr>
          <w:ilvl w:val="1"/>
          <w:numId w:val="44"/>
        </w:numPr>
        <w:rPr>
          <w:b/>
        </w:rPr>
      </w:pPr>
      <w:r>
        <w:rPr>
          <w:b/>
        </w:rPr>
        <w:t xml:space="preserve">Research </w:t>
      </w:r>
      <w:proofErr w:type="gramStart"/>
      <w:r>
        <w:rPr>
          <w:b/>
        </w:rPr>
        <w:t>aim</w:t>
      </w:r>
      <w:proofErr w:type="gramEnd"/>
      <w:r>
        <w:rPr>
          <w:b/>
        </w:rPr>
        <w:t xml:space="preserve"> statement</w:t>
      </w:r>
    </w:p>
    <w:p w14:paraId="186543AE" w14:textId="1B4EA1FD" w:rsidR="00C114DF" w:rsidRDefault="00C114DF" w:rsidP="00365AED">
      <w:pPr>
        <w:pStyle w:val="ListParagraph"/>
        <w:numPr>
          <w:ilvl w:val="1"/>
          <w:numId w:val="44"/>
        </w:numPr>
        <w:rPr>
          <w:b/>
        </w:rPr>
      </w:pPr>
      <w:r>
        <w:rPr>
          <w:b/>
        </w:rPr>
        <w:t>Start date:</w:t>
      </w:r>
      <w:r w:rsidR="00E115A3">
        <w:rPr>
          <w:b/>
        </w:rPr>
        <w:t xml:space="preserve"> </w:t>
      </w:r>
      <w:r w:rsidR="00E115A3" w:rsidRPr="00FC527B">
        <w:rPr>
          <w:b/>
          <w:highlight w:val="yellow"/>
        </w:rPr>
        <w:t>[XX]</w:t>
      </w:r>
    </w:p>
    <w:p w14:paraId="1AAAD791" w14:textId="644FC3E3" w:rsidR="00C114DF" w:rsidRPr="008268B6" w:rsidRDefault="00C114DF" w:rsidP="00365AED">
      <w:pPr>
        <w:pStyle w:val="ListParagraph"/>
        <w:numPr>
          <w:ilvl w:val="1"/>
          <w:numId w:val="44"/>
        </w:numPr>
        <w:rPr>
          <w:b/>
        </w:rPr>
      </w:pPr>
      <w:r>
        <w:rPr>
          <w:b/>
        </w:rPr>
        <w:t>End date:</w:t>
      </w:r>
      <w:r w:rsidR="00E115A3">
        <w:rPr>
          <w:b/>
        </w:rPr>
        <w:t xml:space="preserve"> </w:t>
      </w:r>
      <w:r w:rsidR="00E115A3" w:rsidRPr="00FC527B">
        <w:rPr>
          <w:b/>
          <w:highlight w:val="yellow"/>
        </w:rPr>
        <w:t>[XX]</w:t>
      </w:r>
    </w:p>
    <w:p w14:paraId="687FFB5B" w14:textId="77777777" w:rsidR="00F45E75" w:rsidRDefault="00F45E75" w:rsidP="00994014">
      <w:pPr>
        <w:jc w:val="center"/>
        <w:rPr>
          <w:rFonts w:cs="Arial"/>
          <w:b/>
          <w:bCs/>
          <w:sz w:val="20"/>
          <w:lang w:eastAsia="en-US"/>
        </w:rPr>
      </w:pPr>
    </w:p>
    <w:p w14:paraId="22D91D6C" w14:textId="77777777" w:rsidR="00F45E75" w:rsidRDefault="00F45E75" w:rsidP="00994014">
      <w:pPr>
        <w:jc w:val="center"/>
        <w:rPr>
          <w:rFonts w:cs="Arial"/>
          <w:b/>
          <w:bCs/>
          <w:sz w:val="20"/>
          <w:lang w:eastAsia="en-US"/>
        </w:rPr>
      </w:pPr>
    </w:p>
    <w:p w14:paraId="6CDDBE17" w14:textId="7EC2FF9A" w:rsidR="00062E38" w:rsidRPr="006C140D" w:rsidRDefault="00062E38" w:rsidP="00F11518">
      <w:pPr>
        <w:pStyle w:val="ListParagraph"/>
        <w:rPr>
          <w:b/>
          <w:bCs/>
        </w:rPr>
      </w:pPr>
    </w:p>
    <w:sectPr w:rsidR="00062E38" w:rsidRPr="006C140D"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B804" w14:textId="77777777" w:rsidR="003701CC" w:rsidRDefault="003701CC">
      <w:r>
        <w:separator/>
      </w:r>
    </w:p>
  </w:endnote>
  <w:endnote w:type="continuationSeparator" w:id="0">
    <w:p w14:paraId="193CE42A" w14:textId="77777777" w:rsidR="003701CC" w:rsidRDefault="0037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707B" w14:textId="77777777" w:rsidR="003701CC" w:rsidRDefault="003701CC">
      <w:r>
        <w:separator/>
      </w:r>
    </w:p>
  </w:footnote>
  <w:footnote w:type="continuationSeparator" w:id="0">
    <w:p w14:paraId="3A872F2A" w14:textId="77777777" w:rsidR="003701CC" w:rsidRDefault="0037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2B07" w14:textId="475DC3E8" w:rsidR="00A2687E" w:rsidRDefault="007C5D5D">
    <w:pPr>
      <w:pStyle w:val="Header"/>
    </w:pPr>
    <w:r>
      <w:rPr>
        <w:noProof/>
      </w:rPr>
      <w:pict w14:anchorId="07AB0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29"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D12F" w14:textId="31BF53F2" w:rsidR="00A2687E" w:rsidRDefault="007C5D5D">
    <w:pPr>
      <w:pStyle w:val="Header"/>
    </w:pPr>
    <w:r>
      <w:rPr>
        <w:noProof/>
      </w:rPr>
      <w:pict w14:anchorId="7B100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30"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39068811" w:rsidR="001C2A31" w:rsidRDefault="007C5D5D" w:rsidP="00C57E92">
    <w:pPr>
      <w:pStyle w:val="Header"/>
      <w:jc w:val="right"/>
    </w:pPr>
    <w:r>
      <w:rPr>
        <w:noProof/>
      </w:rPr>
      <w:pict w14:anchorId="4D971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28"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156F" w14:textId="00943204" w:rsidR="00A2687E" w:rsidRDefault="007C5D5D">
    <w:pPr>
      <w:pStyle w:val="Header"/>
    </w:pPr>
    <w:r>
      <w:rPr>
        <w:noProof/>
      </w:rPr>
      <w:pict w14:anchorId="38BE8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32"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DED9" w14:textId="3913E232" w:rsidR="00A2687E" w:rsidRDefault="007C5D5D">
    <w:pPr>
      <w:pStyle w:val="Header"/>
    </w:pPr>
    <w:r>
      <w:rPr>
        <w:noProof/>
      </w:rPr>
      <w:pict w14:anchorId="4B167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33"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F07" w14:textId="101B5F3F" w:rsidR="00A2687E" w:rsidRDefault="007C5D5D">
    <w:pPr>
      <w:pStyle w:val="Header"/>
    </w:pPr>
    <w:r>
      <w:rPr>
        <w:noProof/>
      </w:rPr>
      <w:pict w14:anchorId="7D71C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9831"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A5467C"/>
    <w:multiLevelType w:val="multilevel"/>
    <w:tmpl w:val="E0F0E352"/>
    <w:lvl w:ilvl="0">
      <w:start w:val="1"/>
      <w:numFmt w:val="decimal"/>
      <w:lvlText w:val="%1"/>
      <w:lvlJc w:val="left"/>
      <w:pPr>
        <w:ind w:left="720" w:hanging="720"/>
      </w:pPr>
      <w:rPr>
        <w:rFonts w:hint="default"/>
        <w:b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9"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7962816"/>
    <w:multiLevelType w:val="multilevel"/>
    <w:tmpl w:val="B7D028CE"/>
    <w:numStyleLink w:val="MERWList"/>
  </w:abstractNum>
  <w:abstractNum w:abstractNumId="11"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3"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4"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5"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6" w15:restartNumberingAfterBreak="0">
    <w:nsid w:val="11767FDF"/>
    <w:multiLevelType w:val="hybridMultilevel"/>
    <w:tmpl w:val="FF86801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0"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2"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4"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5" w15:restartNumberingAfterBreak="0">
    <w:nsid w:val="45C6711E"/>
    <w:multiLevelType w:val="hybridMultilevel"/>
    <w:tmpl w:val="A8380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D0A3B89"/>
    <w:multiLevelType w:val="multilevel"/>
    <w:tmpl w:val="E0F0E352"/>
    <w:lvl w:ilvl="0">
      <w:start w:val="1"/>
      <w:numFmt w:val="decimal"/>
      <w:lvlText w:val="%1"/>
      <w:lvlJc w:val="left"/>
      <w:pPr>
        <w:ind w:left="720" w:hanging="720"/>
      </w:pPr>
      <w:rPr>
        <w:rFonts w:hint="default"/>
        <w:b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29"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1"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2" w15:restartNumberingAfterBreak="0">
    <w:nsid w:val="57BD4787"/>
    <w:multiLevelType w:val="hybridMultilevel"/>
    <w:tmpl w:val="E39A1818"/>
    <w:lvl w:ilvl="0" w:tplc="D67CDC8C">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3"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8"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9"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0"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67D58F4"/>
    <w:multiLevelType w:val="multilevel"/>
    <w:tmpl w:val="E0F0E352"/>
    <w:lvl w:ilvl="0">
      <w:start w:val="1"/>
      <w:numFmt w:val="decimal"/>
      <w:lvlText w:val="%1"/>
      <w:lvlJc w:val="left"/>
      <w:pPr>
        <w:ind w:left="720" w:hanging="720"/>
      </w:pPr>
      <w:rPr>
        <w:rFonts w:hint="default"/>
        <w:b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6"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0"/>
  </w:num>
  <w:num w:numId="7" w16cid:durableId="2032340392">
    <w:abstractNumId w:val="12"/>
  </w:num>
  <w:num w:numId="8" w16cid:durableId="204681093">
    <w:abstractNumId w:val="13"/>
  </w:num>
  <w:num w:numId="9" w16cid:durableId="274215217">
    <w:abstractNumId w:val="14"/>
  </w:num>
  <w:num w:numId="10" w16cid:durableId="676614487">
    <w:abstractNumId w:val="32"/>
  </w:num>
  <w:num w:numId="11" w16cid:durableId="1484346213">
    <w:abstractNumId w:val="30"/>
  </w:num>
  <w:num w:numId="12" w16cid:durableId="624505776">
    <w:abstractNumId w:val="43"/>
  </w:num>
  <w:num w:numId="13" w16cid:durableId="1317105605">
    <w:abstractNumId w:val="9"/>
  </w:num>
  <w:num w:numId="14" w16cid:durableId="941648754">
    <w:abstractNumId w:val="28"/>
  </w:num>
  <w:num w:numId="15" w16cid:durableId="1290162443">
    <w:abstractNumId w:val="11"/>
  </w:num>
  <w:num w:numId="16" w16cid:durableId="1208833758">
    <w:abstractNumId w:val="18"/>
  </w:num>
  <w:num w:numId="17" w16cid:durableId="56366011">
    <w:abstractNumId w:val="39"/>
  </w:num>
  <w:num w:numId="18" w16cid:durableId="535705354">
    <w:abstractNumId w:val="22"/>
  </w:num>
  <w:num w:numId="19" w16cid:durableId="529151755">
    <w:abstractNumId w:val="16"/>
  </w:num>
  <w:num w:numId="20" w16cid:durableId="629095639">
    <w:abstractNumId w:val="31"/>
  </w:num>
  <w:num w:numId="21" w16cid:durableId="364327717">
    <w:abstractNumId w:val="10"/>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4"/>
  </w:num>
  <w:num w:numId="23" w16cid:durableId="1876038376">
    <w:abstractNumId w:val="33"/>
  </w:num>
  <w:num w:numId="24" w16cid:durableId="407701149">
    <w:abstractNumId w:val="1"/>
  </w:num>
  <w:num w:numId="25" w16cid:durableId="1795709666">
    <w:abstractNumId w:val="0"/>
  </w:num>
  <w:num w:numId="26" w16cid:durableId="1535076877">
    <w:abstractNumId w:val="21"/>
  </w:num>
  <w:num w:numId="27" w16cid:durableId="975791360">
    <w:abstractNumId w:val="38"/>
  </w:num>
  <w:num w:numId="28" w16cid:durableId="1826319112">
    <w:abstractNumId w:val="15"/>
  </w:num>
  <w:num w:numId="29" w16cid:durableId="1617058212">
    <w:abstractNumId w:val="23"/>
  </w:num>
  <w:num w:numId="30" w16cid:durableId="717778140">
    <w:abstractNumId w:val="17"/>
  </w:num>
  <w:num w:numId="31" w16cid:durableId="10886660">
    <w:abstractNumId w:val="24"/>
  </w:num>
  <w:num w:numId="32" w16cid:durableId="892960730">
    <w:abstractNumId w:val="34"/>
  </w:num>
  <w:num w:numId="33" w16cid:durableId="1857570230">
    <w:abstractNumId w:val="37"/>
  </w:num>
  <w:num w:numId="34" w16cid:durableId="920913098">
    <w:abstractNumId w:val="46"/>
  </w:num>
  <w:num w:numId="35" w16cid:durableId="129059084">
    <w:abstractNumId w:val="41"/>
  </w:num>
  <w:num w:numId="36" w16cid:durableId="294869839">
    <w:abstractNumId w:val="27"/>
  </w:num>
  <w:num w:numId="37" w16cid:durableId="1609700327">
    <w:abstractNumId w:val="35"/>
  </w:num>
  <w:num w:numId="38" w16cid:durableId="1594435484">
    <w:abstractNumId w:val="36"/>
  </w:num>
  <w:num w:numId="39" w16cid:durableId="611859281">
    <w:abstractNumId w:val="8"/>
  </w:num>
  <w:num w:numId="40" w16cid:durableId="1760371572">
    <w:abstractNumId w:val="29"/>
  </w:num>
  <w:num w:numId="41" w16cid:durableId="399907640">
    <w:abstractNumId w:val="20"/>
  </w:num>
  <w:num w:numId="42" w16cid:durableId="2057196903">
    <w:abstractNumId w:val="19"/>
  </w:num>
  <w:num w:numId="43" w16cid:durableId="762381631">
    <w:abstractNumId w:val="45"/>
  </w:num>
  <w:num w:numId="44" w16cid:durableId="1279069573">
    <w:abstractNumId w:val="26"/>
  </w:num>
  <w:num w:numId="45" w16cid:durableId="1275669047">
    <w:abstractNumId w:val="42"/>
  </w:num>
  <w:num w:numId="46" w16cid:durableId="280191682">
    <w:abstractNumId w:val="7"/>
  </w:num>
  <w:num w:numId="47" w16cid:durableId="199976989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16358"/>
    <w:rsid w:val="00021792"/>
    <w:rsid w:val="00024948"/>
    <w:rsid w:val="00027748"/>
    <w:rsid w:val="00032DA8"/>
    <w:rsid w:val="00033E42"/>
    <w:rsid w:val="0003418B"/>
    <w:rsid w:val="00036080"/>
    <w:rsid w:val="00037C9E"/>
    <w:rsid w:val="00041D4E"/>
    <w:rsid w:val="000448C4"/>
    <w:rsid w:val="00050EB2"/>
    <w:rsid w:val="00054245"/>
    <w:rsid w:val="00054803"/>
    <w:rsid w:val="00054CB8"/>
    <w:rsid w:val="000567F0"/>
    <w:rsid w:val="00062314"/>
    <w:rsid w:val="00062E38"/>
    <w:rsid w:val="00063401"/>
    <w:rsid w:val="0006592B"/>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353C"/>
    <w:rsid w:val="000B4C3A"/>
    <w:rsid w:val="000C1992"/>
    <w:rsid w:val="000C1B16"/>
    <w:rsid w:val="000C4964"/>
    <w:rsid w:val="000C5EDF"/>
    <w:rsid w:val="000D7872"/>
    <w:rsid w:val="000E0C90"/>
    <w:rsid w:val="000E226A"/>
    <w:rsid w:val="000E2B98"/>
    <w:rsid w:val="000F2460"/>
    <w:rsid w:val="000F7E84"/>
    <w:rsid w:val="00101D7A"/>
    <w:rsid w:val="00105396"/>
    <w:rsid w:val="00112C08"/>
    <w:rsid w:val="001204AA"/>
    <w:rsid w:val="00121D60"/>
    <w:rsid w:val="00125062"/>
    <w:rsid w:val="00127781"/>
    <w:rsid w:val="00130FD0"/>
    <w:rsid w:val="001378A0"/>
    <w:rsid w:val="00147F33"/>
    <w:rsid w:val="001513B5"/>
    <w:rsid w:val="001520AA"/>
    <w:rsid w:val="00152E48"/>
    <w:rsid w:val="00155625"/>
    <w:rsid w:val="00161138"/>
    <w:rsid w:val="0016366C"/>
    <w:rsid w:val="001724D0"/>
    <w:rsid w:val="00180D89"/>
    <w:rsid w:val="00181FD3"/>
    <w:rsid w:val="0018261A"/>
    <w:rsid w:val="00182E3F"/>
    <w:rsid w:val="001854AC"/>
    <w:rsid w:val="00185A0B"/>
    <w:rsid w:val="001871E1"/>
    <w:rsid w:val="001909A3"/>
    <w:rsid w:val="00193E37"/>
    <w:rsid w:val="001948AA"/>
    <w:rsid w:val="00194C46"/>
    <w:rsid w:val="00195D23"/>
    <w:rsid w:val="001A10D3"/>
    <w:rsid w:val="001A71AA"/>
    <w:rsid w:val="001B179A"/>
    <w:rsid w:val="001B494E"/>
    <w:rsid w:val="001B4C11"/>
    <w:rsid w:val="001B4C2B"/>
    <w:rsid w:val="001B54F5"/>
    <w:rsid w:val="001B6634"/>
    <w:rsid w:val="001C021D"/>
    <w:rsid w:val="001C2A31"/>
    <w:rsid w:val="001C4151"/>
    <w:rsid w:val="001C4EE3"/>
    <w:rsid w:val="001C616E"/>
    <w:rsid w:val="001D4D3C"/>
    <w:rsid w:val="001E1F4C"/>
    <w:rsid w:val="001E324B"/>
    <w:rsid w:val="001E3416"/>
    <w:rsid w:val="001F0694"/>
    <w:rsid w:val="001F14B7"/>
    <w:rsid w:val="001F6371"/>
    <w:rsid w:val="002003C7"/>
    <w:rsid w:val="002004FE"/>
    <w:rsid w:val="00200957"/>
    <w:rsid w:val="00200D06"/>
    <w:rsid w:val="00202522"/>
    <w:rsid w:val="00205488"/>
    <w:rsid w:val="002055DE"/>
    <w:rsid w:val="0021537D"/>
    <w:rsid w:val="00224812"/>
    <w:rsid w:val="002250DF"/>
    <w:rsid w:val="002305F6"/>
    <w:rsid w:val="002330A5"/>
    <w:rsid w:val="00233784"/>
    <w:rsid w:val="00234D42"/>
    <w:rsid w:val="00235FC3"/>
    <w:rsid w:val="0023618A"/>
    <w:rsid w:val="00236426"/>
    <w:rsid w:val="00244A1C"/>
    <w:rsid w:val="00244C02"/>
    <w:rsid w:val="002543ED"/>
    <w:rsid w:val="002646E8"/>
    <w:rsid w:val="00266233"/>
    <w:rsid w:val="0026726F"/>
    <w:rsid w:val="002806B7"/>
    <w:rsid w:val="00291FC9"/>
    <w:rsid w:val="00292E93"/>
    <w:rsid w:val="0029369F"/>
    <w:rsid w:val="00294702"/>
    <w:rsid w:val="00297B32"/>
    <w:rsid w:val="002A6C15"/>
    <w:rsid w:val="002A6E1C"/>
    <w:rsid w:val="002B5FDB"/>
    <w:rsid w:val="002C55E1"/>
    <w:rsid w:val="002D2F2E"/>
    <w:rsid w:val="002D3079"/>
    <w:rsid w:val="002E53DE"/>
    <w:rsid w:val="002E684A"/>
    <w:rsid w:val="002F366E"/>
    <w:rsid w:val="002F581E"/>
    <w:rsid w:val="00300FFF"/>
    <w:rsid w:val="003012C5"/>
    <w:rsid w:val="00317EF7"/>
    <w:rsid w:val="0032296F"/>
    <w:rsid w:val="0032360F"/>
    <w:rsid w:val="003239A6"/>
    <w:rsid w:val="00324528"/>
    <w:rsid w:val="00324631"/>
    <w:rsid w:val="00324842"/>
    <w:rsid w:val="00325F56"/>
    <w:rsid w:val="00331748"/>
    <w:rsid w:val="00336302"/>
    <w:rsid w:val="00342CB7"/>
    <w:rsid w:val="003440AA"/>
    <w:rsid w:val="003473E9"/>
    <w:rsid w:val="00350A13"/>
    <w:rsid w:val="00353D10"/>
    <w:rsid w:val="00356305"/>
    <w:rsid w:val="0036338D"/>
    <w:rsid w:val="00365AED"/>
    <w:rsid w:val="003701CC"/>
    <w:rsid w:val="00374543"/>
    <w:rsid w:val="0037488D"/>
    <w:rsid w:val="0037635D"/>
    <w:rsid w:val="0038398C"/>
    <w:rsid w:val="00384CDB"/>
    <w:rsid w:val="00385CB8"/>
    <w:rsid w:val="00386AB5"/>
    <w:rsid w:val="003870B8"/>
    <w:rsid w:val="003935FA"/>
    <w:rsid w:val="003A7638"/>
    <w:rsid w:val="003B4713"/>
    <w:rsid w:val="003B474D"/>
    <w:rsid w:val="003C330D"/>
    <w:rsid w:val="003C34CC"/>
    <w:rsid w:val="003C5845"/>
    <w:rsid w:val="003C625C"/>
    <w:rsid w:val="003D6C69"/>
    <w:rsid w:val="003D6E1D"/>
    <w:rsid w:val="003E7A2F"/>
    <w:rsid w:val="003F05D4"/>
    <w:rsid w:val="003F2B39"/>
    <w:rsid w:val="003F6D32"/>
    <w:rsid w:val="003F6FB8"/>
    <w:rsid w:val="004003A7"/>
    <w:rsid w:val="00400660"/>
    <w:rsid w:val="0040071C"/>
    <w:rsid w:val="00401AA7"/>
    <w:rsid w:val="00405CE5"/>
    <w:rsid w:val="0040749E"/>
    <w:rsid w:val="0041093D"/>
    <w:rsid w:val="0042206F"/>
    <w:rsid w:val="00422FAA"/>
    <w:rsid w:val="00423771"/>
    <w:rsid w:val="00427D2E"/>
    <w:rsid w:val="00436477"/>
    <w:rsid w:val="004425FD"/>
    <w:rsid w:val="00451A09"/>
    <w:rsid w:val="004528BA"/>
    <w:rsid w:val="0045547F"/>
    <w:rsid w:val="00456497"/>
    <w:rsid w:val="00457CA5"/>
    <w:rsid w:val="00463E3F"/>
    <w:rsid w:val="004647FB"/>
    <w:rsid w:val="0047272A"/>
    <w:rsid w:val="00481AC4"/>
    <w:rsid w:val="00481DFE"/>
    <w:rsid w:val="00485485"/>
    <w:rsid w:val="00487441"/>
    <w:rsid w:val="004912D0"/>
    <w:rsid w:val="004940FF"/>
    <w:rsid w:val="004A255A"/>
    <w:rsid w:val="004A3CA6"/>
    <w:rsid w:val="004A4D8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60"/>
    <w:rsid w:val="00514004"/>
    <w:rsid w:val="00514E5E"/>
    <w:rsid w:val="00515B5E"/>
    <w:rsid w:val="00516019"/>
    <w:rsid w:val="00521550"/>
    <w:rsid w:val="00525341"/>
    <w:rsid w:val="00525CF1"/>
    <w:rsid w:val="00527F39"/>
    <w:rsid w:val="00531168"/>
    <w:rsid w:val="00531A6F"/>
    <w:rsid w:val="0053283A"/>
    <w:rsid w:val="00535156"/>
    <w:rsid w:val="005410A2"/>
    <w:rsid w:val="00542723"/>
    <w:rsid w:val="00544D37"/>
    <w:rsid w:val="00547C29"/>
    <w:rsid w:val="00555147"/>
    <w:rsid w:val="0056114D"/>
    <w:rsid w:val="00562E7C"/>
    <w:rsid w:val="00567361"/>
    <w:rsid w:val="00572B52"/>
    <w:rsid w:val="00572DBD"/>
    <w:rsid w:val="00586CB2"/>
    <w:rsid w:val="00586DF3"/>
    <w:rsid w:val="00592455"/>
    <w:rsid w:val="005964A6"/>
    <w:rsid w:val="005A02FB"/>
    <w:rsid w:val="005A0BB7"/>
    <w:rsid w:val="005A1BE8"/>
    <w:rsid w:val="005A2803"/>
    <w:rsid w:val="005A4FB3"/>
    <w:rsid w:val="005B23F3"/>
    <w:rsid w:val="005B5AC4"/>
    <w:rsid w:val="005B7073"/>
    <w:rsid w:val="005C2F44"/>
    <w:rsid w:val="005C3491"/>
    <w:rsid w:val="005C619E"/>
    <w:rsid w:val="005D4F3C"/>
    <w:rsid w:val="005D53D3"/>
    <w:rsid w:val="005D5770"/>
    <w:rsid w:val="005F0A4D"/>
    <w:rsid w:val="005F724A"/>
    <w:rsid w:val="006046AA"/>
    <w:rsid w:val="00606588"/>
    <w:rsid w:val="00606F37"/>
    <w:rsid w:val="0061078D"/>
    <w:rsid w:val="00611506"/>
    <w:rsid w:val="00614A34"/>
    <w:rsid w:val="006150E6"/>
    <w:rsid w:val="00620A51"/>
    <w:rsid w:val="00621230"/>
    <w:rsid w:val="006238E1"/>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140D"/>
    <w:rsid w:val="006C2624"/>
    <w:rsid w:val="006C2DF8"/>
    <w:rsid w:val="006C430A"/>
    <w:rsid w:val="006C4A43"/>
    <w:rsid w:val="006D2AA4"/>
    <w:rsid w:val="006D3C98"/>
    <w:rsid w:val="006E1F96"/>
    <w:rsid w:val="006E321B"/>
    <w:rsid w:val="006E543B"/>
    <w:rsid w:val="006E6DC7"/>
    <w:rsid w:val="006F0DA0"/>
    <w:rsid w:val="006F55D5"/>
    <w:rsid w:val="006F66AD"/>
    <w:rsid w:val="00703C3C"/>
    <w:rsid w:val="007109AC"/>
    <w:rsid w:val="00712D03"/>
    <w:rsid w:val="00714F4E"/>
    <w:rsid w:val="00715289"/>
    <w:rsid w:val="00721202"/>
    <w:rsid w:val="00721DDA"/>
    <w:rsid w:val="00721F05"/>
    <w:rsid w:val="007244FB"/>
    <w:rsid w:val="0073178C"/>
    <w:rsid w:val="007369C6"/>
    <w:rsid w:val="007462F3"/>
    <w:rsid w:val="00746914"/>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7A0"/>
    <w:rsid w:val="007A7B78"/>
    <w:rsid w:val="007B11F9"/>
    <w:rsid w:val="007B5D57"/>
    <w:rsid w:val="007C5D5D"/>
    <w:rsid w:val="007D1642"/>
    <w:rsid w:val="007D19B5"/>
    <w:rsid w:val="007E64E8"/>
    <w:rsid w:val="00802A25"/>
    <w:rsid w:val="00805BBF"/>
    <w:rsid w:val="008064A2"/>
    <w:rsid w:val="00813B4A"/>
    <w:rsid w:val="008150A0"/>
    <w:rsid w:val="008200B0"/>
    <w:rsid w:val="00822F0B"/>
    <w:rsid w:val="0082378A"/>
    <w:rsid w:val="00827F73"/>
    <w:rsid w:val="0083059F"/>
    <w:rsid w:val="00833F10"/>
    <w:rsid w:val="00836D0E"/>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85492"/>
    <w:rsid w:val="00897C75"/>
    <w:rsid w:val="008A782E"/>
    <w:rsid w:val="008B0DB1"/>
    <w:rsid w:val="008B145A"/>
    <w:rsid w:val="008B14D6"/>
    <w:rsid w:val="008B5DF4"/>
    <w:rsid w:val="008C3116"/>
    <w:rsid w:val="008D29DE"/>
    <w:rsid w:val="008D61BB"/>
    <w:rsid w:val="008F1408"/>
    <w:rsid w:val="008F5BC8"/>
    <w:rsid w:val="0090025E"/>
    <w:rsid w:val="009019DB"/>
    <w:rsid w:val="009025B8"/>
    <w:rsid w:val="00904FBD"/>
    <w:rsid w:val="00905DEA"/>
    <w:rsid w:val="009107AD"/>
    <w:rsid w:val="0092194B"/>
    <w:rsid w:val="009240C1"/>
    <w:rsid w:val="0093209C"/>
    <w:rsid w:val="009328D9"/>
    <w:rsid w:val="00940462"/>
    <w:rsid w:val="00942DB6"/>
    <w:rsid w:val="00947924"/>
    <w:rsid w:val="00953E29"/>
    <w:rsid w:val="009642A1"/>
    <w:rsid w:val="00964B57"/>
    <w:rsid w:val="0097075B"/>
    <w:rsid w:val="0097177A"/>
    <w:rsid w:val="009739C4"/>
    <w:rsid w:val="00973A0F"/>
    <w:rsid w:val="00981C2F"/>
    <w:rsid w:val="00983DC3"/>
    <w:rsid w:val="0099044E"/>
    <w:rsid w:val="0099117C"/>
    <w:rsid w:val="00992061"/>
    <w:rsid w:val="00992483"/>
    <w:rsid w:val="00994014"/>
    <w:rsid w:val="00997962"/>
    <w:rsid w:val="009A04B9"/>
    <w:rsid w:val="009A0EB2"/>
    <w:rsid w:val="009A2A49"/>
    <w:rsid w:val="009A3733"/>
    <w:rsid w:val="009A596D"/>
    <w:rsid w:val="009A5C75"/>
    <w:rsid w:val="009A627B"/>
    <w:rsid w:val="009A74DB"/>
    <w:rsid w:val="009B4CCB"/>
    <w:rsid w:val="009B5524"/>
    <w:rsid w:val="009B7231"/>
    <w:rsid w:val="009C5383"/>
    <w:rsid w:val="009C6CC0"/>
    <w:rsid w:val="009D2C8E"/>
    <w:rsid w:val="009D4EFE"/>
    <w:rsid w:val="009E169B"/>
    <w:rsid w:val="009E3102"/>
    <w:rsid w:val="009E7859"/>
    <w:rsid w:val="009F347F"/>
    <w:rsid w:val="00A01D93"/>
    <w:rsid w:val="00A05B39"/>
    <w:rsid w:val="00A1014E"/>
    <w:rsid w:val="00A12100"/>
    <w:rsid w:val="00A14C77"/>
    <w:rsid w:val="00A16DA3"/>
    <w:rsid w:val="00A2058F"/>
    <w:rsid w:val="00A2142A"/>
    <w:rsid w:val="00A2503B"/>
    <w:rsid w:val="00A2687E"/>
    <w:rsid w:val="00A323E0"/>
    <w:rsid w:val="00A348C7"/>
    <w:rsid w:val="00A35859"/>
    <w:rsid w:val="00A45B5B"/>
    <w:rsid w:val="00A46C03"/>
    <w:rsid w:val="00A5042F"/>
    <w:rsid w:val="00A5117C"/>
    <w:rsid w:val="00A53511"/>
    <w:rsid w:val="00A53BA1"/>
    <w:rsid w:val="00A554CE"/>
    <w:rsid w:val="00A65D6A"/>
    <w:rsid w:val="00A66E26"/>
    <w:rsid w:val="00A67FF4"/>
    <w:rsid w:val="00A71C93"/>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AF2E45"/>
    <w:rsid w:val="00B05815"/>
    <w:rsid w:val="00B079E1"/>
    <w:rsid w:val="00B1140D"/>
    <w:rsid w:val="00B13B40"/>
    <w:rsid w:val="00B218DA"/>
    <w:rsid w:val="00B23F97"/>
    <w:rsid w:val="00B31A21"/>
    <w:rsid w:val="00B332F2"/>
    <w:rsid w:val="00B43FCE"/>
    <w:rsid w:val="00B46479"/>
    <w:rsid w:val="00B473FA"/>
    <w:rsid w:val="00B50119"/>
    <w:rsid w:val="00B50F48"/>
    <w:rsid w:val="00B52C55"/>
    <w:rsid w:val="00B55BA5"/>
    <w:rsid w:val="00B61131"/>
    <w:rsid w:val="00B63FA7"/>
    <w:rsid w:val="00B6681B"/>
    <w:rsid w:val="00B668C9"/>
    <w:rsid w:val="00B702DB"/>
    <w:rsid w:val="00B72D0B"/>
    <w:rsid w:val="00B74B75"/>
    <w:rsid w:val="00B805BF"/>
    <w:rsid w:val="00B80A7F"/>
    <w:rsid w:val="00B855A5"/>
    <w:rsid w:val="00B94766"/>
    <w:rsid w:val="00BA4089"/>
    <w:rsid w:val="00BB1D98"/>
    <w:rsid w:val="00BB1DCD"/>
    <w:rsid w:val="00BB6261"/>
    <w:rsid w:val="00BD41F3"/>
    <w:rsid w:val="00BD500B"/>
    <w:rsid w:val="00BE0B10"/>
    <w:rsid w:val="00BE1A95"/>
    <w:rsid w:val="00BE3123"/>
    <w:rsid w:val="00BF0080"/>
    <w:rsid w:val="00BF33A5"/>
    <w:rsid w:val="00BF3A8C"/>
    <w:rsid w:val="00BF4BE0"/>
    <w:rsid w:val="00BF5283"/>
    <w:rsid w:val="00C02B22"/>
    <w:rsid w:val="00C037BE"/>
    <w:rsid w:val="00C03C6B"/>
    <w:rsid w:val="00C06162"/>
    <w:rsid w:val="00C114DF"/>
    <w:rsid w:val="00C14FE7"/>
    <w:rsid w:val="00C15933"/>
    <w:rsid w:val="00C26972"/>
    <w:rsid w:val="00C27DC9"/>
    <w:rsid w:val="00C30A98"/>
    <w:rsid w:val="00C32B7E"/>
    <w:rsid w:val="00C35922"/>
    <w:rsid w:val="00C405AB"/>
    <w:rsid w:val="00C41EC6"/>
    <w:rsid w:val="00C45C9D"/>
    <w:rsid w:val="00C5150A"/>
    <w:rsid w:val="00C55970"/>
    <w:rsid w:val="00C56516"/>
    <w:rsid w:val="00C56AD8"/>
    <w:rsid w:val="00C57E92"/>
    <w:rsid w:val="00C64ABA"/>
    <w:rsid w:val="00C708D6"/>
    <w:rsid w:val="00C71589"/>
    <w:rsid w:val="00C73166"/>
    <w:rsid w:val="00C73920"/>
    <w:rsid w:val="00C747FD"/>
    <w:rsid w:val="00C7537A"/>
    <w:rsid w:val="00C75573"/>
    <w:rsid w:val="00C76621"/>
    <w:rsid w:val="00C774A9"/>
    <w:rsid w:val="00C80F99"/>
    <w:rsid w:val="00C81036"/>
    <w:rsid w:val="00C83CC3"/>
    <w:rsid w:val="00C85528"/>
    <w:rsid w:val="00C86744"/>
    <w:rsid w:val="00C928F8"/>
    <w:rsid w:val="00C939A0"/>
    <w:rsid w:val="00C94C71"/>
    <w:rsid w:val="00C97EE6"/>
    <w:rsid w:val="00CA0A31"/>
    <w:rsid w:val="00CA5453"/>
    <w:rsid w:val="00CB1EDE"/>
    <w:rsid w:val="00CB36BA"/>
    <w:rsid w:val="00CB44ED"/>
    <w:rsid w:val="00CB5CB5"/>
    <w:rsid w:val="00CC50B7"/>
    <w:rsid w:val="00CD4032"/>
    <w:rsid w:val="00CD7454"/>
    <w:rsid w:val="00CD76A4"/>
    <w:rsid w:val="00CE0B06"/>
    <w:rsid w:val="00CE5925"/>
    <w:rsid w:val="00CF15DB"/>
    <w:rsid w:val="00CF291D"/>
    <w:rsid w:val="00CF4A80"/>
    <w:rsid w:val="00CF63B5"/>
    <w:rsid w:val="00D0011F"/>
    <w:rsid w:val="00D05A0B"/>
    <w:rsid w:val="00D068EB"/>
    <w:rsid w:val="00D10833"/>
    <w:rsid w:val="00D10960"/>
    <w:rsid w:val="00D136BD"/>
    <w:rsid w:val="00D15494"/>
    <w:rsid w:val="00D159FB"/>
    <w:rsid w:val="00D17745"/>
    <w:rsid w:val="00D2249B"/>
    <w:rsid w:val="00D23A72"/>
    <w:rsid w:val="00D24267"/>
    <w:rsid w:val="00D25860"/>
    <w:rsid w:val="00D26F99"/>
    <w:rsid w:val="00D30426"/>
    <w:rsid w:val="00D33ECE"/>
    <w:rsid w:val="00D41633"/>
    <w:rsid w:val="00D41EFA"/>
    <w:rsid w:val="00D469DC"/>
    <w:rsid w:val="00D50697"/>
    <w:rsid w:val="00D51982"/>
    <w:rsid w:val="00D60417"/>
    <w:rsid w:val="00D60DB6"/>
    <w:rsid w:val="00D626CC"/>
    <w:rsid w:val="00D64E9A"/>
    <w:rsid w:val="00D65882"/>
    <w:rsid w:val="00D67199"/>
    <w:rsid w:val="00D675A0"/>
    <w:rsid w:val="00D7039A"/>
    <w:rsid w:val="00D70E6E"/>
    <w:rsid w:val="00D724CF"/>
    <w:rsid w:val="00D7359F"/>
    <w:rsid w:val="00D8271D"/>
    <w:rsid w:val="00D878A1"/>
    <w:rsid w:val="00D9006B"/>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07828"/>
    <w:rsid w:val="00E10520"/>
    <w:rsid w:val="00E115A3"/>
    <w:rsid w:val="00E12CC8"/>
    <w:rsid w:val="00E15AC3"/>
    <w:rsid w:val="00E1732D"/>
    <w:rsid w:val="00E1759E"/>
    <w:rsid w:val="00E2043A"/>
    <w:rsid w:val="00E40D23"/>
    <w:rsid w:val="00E4560D"/>
    <w:rsid w:val="00E4649B"/>
    <w:rsid w:val="00E51198"/>
    <w:rsid w:val="00E51519"/>
    <w:rsid w:val="00E54A48"/>
    <w:rsid w:val="00E55FFF"/>
    <w:rsid w:val="00E631AC"/>
    <w:rsid w:val="00E65081"/>
    <w:rsid w:val="00E66730"/>
    <w:rsid w:val="00E67191"/>
    <w:rsid w:val="00E70C8E"/>
    <w:rsid w:val="00E747B2"/>
    <w:rsid w:val="00E75D59"/>
    <w:rsid w:val="00E76DC5"/>
    <w:rsid w:val="00E81206"/>
    <w:rsid w:val="00E812DD"/>
    <w:rsid w:val="00E822AB"/>
    <w:rsid w:val="00E85D7E"/>
    <w:rsid w:val="00E86D13"/>
    <w:rsid w:val="00E92C1A"/>
    <w:rsid w:val="00E92EDD"/>
    <w:rsid w:val="00E948C7"/>
    <w:rsid w:val="00E958C3"/>
    <w:rsid w:val="00EA6369"/>
    <w:rsid w:val="00EB45FC"/>
    <w:rsid w:val="00EC150E"/>
    <w:rsid w:val="00EC4C6E"/>
    <w:rsid w:val="00EC7513"/>
    <w:rsid w:val="00ED1085"/>
    <w:rsid w:val="00ED2598"/>
    <w:rsid w:val="00ED39FF"/>
    <w:rsid w:val="00ED7114"/>
    <w:rsid w:val="00EE7384"/>
    <w:rsid w:val="00EE75A4"/>
    <w:rsid w:val="00EF274E"/>
    <w:rsid w:val="00EF4B91"/>
    <w:rsid w:val="00EF5D56"/>
    <w:rsid w:val="00EF6DCC"/>
    <w:rsid w:val="00F00054"/>
    <w:rsid w:val="00F057DB"/>
    <w:rsid w:val="00F11518"/>
    <w:rsid w:val="00F13740"/>
    <w:rsid w:val="00F14479"/>
    <w:rsid w:val="00F14EF7"/>
    <w:rsid w:val="00F23428"/>
    <w:rsid w:val="00F272F5"/>
    <w:rsid w:val="00F30A9C"/>
    <w:rsid w:val="00F30DFC"/>
    <w:rsid w:val="00F317B2"/>
    <w:rsid w:val="00F4020F"/>
    <w:rsid w:val="00F45E75"/>
    <w:rsid w:val="00F5028C"/>
    <w:rsid w:val="00F50A41"/>
    <w:rsid w:val="00F515FC"/>
    <w:rsid w:val="00F5431D"/>
    <w:rsid w:val="00F55A96"/>
    <w:rsid w:val="00F568AB"/>
    <w:rsid w:val="00F6774C"/>
    <w:rsid w:val="00F7458D"/>
    <w:rsid w:val="00F80B41"/>
    <w:rsid w:val="00F81B36"/>
    <w:rsid w:val="00F825ED"/>
    <w:rsid w:val="00F833E2"/>
    <w:rsid w:val="00F841FB"/>
    <w:rsid w:val="00F8501D"/>
    <w:rsid w:val="00F90004"/>
    <w:rsid w:val="00F903C8"/>
    <w:rsid w:val="00F91D04"/>
    <w:rsid w:val="00F94F2D"/>
    <w:rsid w:val="00FA01A1"/>
    <w:rsid w:val="00FA4927"/>
    <w:rsid w:val="00FA5F46"/>
    <w:rsid w:val="00FA6F65"/>
    <w:rsid w:val="00FB2B79"/>
    <w:rsid w:val="00FB35E2"/>
    <w:rsid w:val="00FB7EB8"/>
    <w:rsid w:val="00FC1B88"/>
    <w:rsid w:val="00FC2BC4"/>
    <w:rsid w:val="00FC4349"/>
    <w:rsid w:val="00FD7FB3"/>
    <w:rsid w:val="00FE44CA"/>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5444</Words>
  <Characters>31035</Characters>
  <Application>Microsoft Office Word</Application>
  <DocSecurity>0</DocSecurity>
  <Lines>258</Lines>
  <Paragraphs>72</Paragraphs>
  <ScaleCrop>false</ScaleCrop>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2023-08-08T23:04:00Z</dcterms:created>
  <dcterms:modified xsi:type="dcterms:W3CDTF">2023-08-08T23:04:00Z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2023-08-08T23:04:46Z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dd7d231b-bcc6-4c73-8675-81004d41c706</vt:lpwstr>
  </property>
  <property fmtid="{D5CDD505-2E9C-101B-9397-08002B2CF9AE}" pid="8" name="MSIP_Label_738466f7-346c-47bb-a4d2-4a6558d61975_ContentBits">
    <vt:lpwstr>0</vt:lpwstr>
  </property>
</Properties>
</file>