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4DD1" w14:textId="77777777" w:rsidR="00496D62" w:rsidRPr="00496D62" w:rsidRDefault="00496D62" w:rsidP="00532EBA">
      <w:pPr>
        <w:spacing w:after="120" w:line="240" w:lineRule="auto"/>
        <w:outlineLvl w:val="0"/>
        <w:rPr>
          <w:rFonts w:ascii="Calibri" w:eastAsia="Times New Roman" w:hAnsi="Calibri" w:cs="Times New Roman"/>
          <w:b/>
          <w:color w:val="006272"/>
          <w:sz w:val="56"/>
          <w:szCs w:val="28"/>
          <w:lang w:eastAsia="ko-KR"/>
        </w:rPr>
      </w:pPr>
      <w:r w:rsidRPr="00496D62">
        <w:rPr>
          <w:rFonts w:ascii="Calibri" w:eastAsia="Times New Roman" w:hAnsi="Calibri" w:cs="Times New Roman"/>
          <w:b/>
          <w:color w:val="006272"/>
          <w:sz w:val="56"/>
          <w:szCs w:val="28"/>
          <w:lang w:eastAsia="ko-KR"/>
        </w:rPr>
        <w:t>Submission template</w:t>
      </w:r>
    </w:p>
    <w:p w14:paraId="20F7152F" w14:textId="77777777" w:rsidR="00496D62" w:rsidRPr="00496D62" w:rsidRDefault="00496D62" w:rsidP="00496D62">
      <w:pPr>
        <w:widowControl w:val="0"/>
        <w:pBdr>
          <w:bottom w:val="single" w:sz="24" w:space="1" w:color="006272"/>
        </w:pBdr>
        <w:spacing w:before="360" w:after="480" w:line="20" w:lineRule="exact"/>
        <w:ind w:right="6237"/>
        <w:rPr>
          <w:rFonts w:ascii="Calibri" w:eastAsia="Times New Roman" w:hAnsi="Calibri" w:cs="Times New Roman"/>
          <w:color w:val="006272"/>
          <w:lang w:eastAsia="en-NZ"/>
        </w:rPr>
      </w:pPr>
    </w:p>
    <w:p w14:paraId="00205EA8" w14:textId="4702426E" w:rsidR="00496D62" w:rsidRDefault="00B56205" w:rsidP="00496D62">
      <w:pPr>
        <w:spacing w:after="120" w:line="240" w:lineRule="auto"/>
        <w:rPr>
          <w:rFonts w:ascii="Calibri" w:eastAsia="Times New Roman" w:hAnsi="Calibri" w:cs="Times New Roman"/>
          <w:b/>
          <w:color w:val="006272"/>
          <w:sz w:val="30"/>
          <w:lang w:eastAsia="ko-KR"/>
        </w:rPr>
      </w:pPr>
      <w:r>
        <w:rPr>
          <w:rFonts w:ascii="Calibri" w:eastAsia="Times New Roman" w:hAnsi="Calibri" w:cs="Times New Roman"/>
          <w:b/>
          <w:color w:val="006272"/>
          <w:sz w:val="30"/>
          <w:lang w:eastAsia="ko-KR"/>
        </w:rPr>
        <w:t>Submitting</w:t>
      </w:r>
      <w:r w:rsidR="00496D62" w:rsidRPr="00496D62">
        <w:rPr>
          <w:rFonts w:ascii="Calibri" w:eastAsia="Times New Roman" w:hAnsi="Calibri" w:cs="Times New Roman"/>
          <w:b/>
          <w:color w:val="006272"/>
          <w:sz w:val="30"/>
          <w:lang w:eastAsia="ko-KR"/>
        </w:rPr>
        <w:t xml:space="preserve"> on </w:t>
      </w:r>
      <w:r w:rsidR="004E7BAE" w:rsidRPr="004E7BAE">
        <w:rPr>
          <w:rFonts w:ascii="Calibri" w:eastAsia="Times New Roman" w:hAnsi="Calibri" w:cs="Times New Roman"/>
          <w:b/>
          <w:i/>
          <w:iCs/>
          <w:color w:val="006272"/>
          <w:sz w:val="30"/>
          <w:lang w:eastAsia="ko-KR"/>
        </w:rPr>
        <w:t>Developing a Regulatory Framework for Offshore Renewable Energy</w:t>
      </w:r>
    </w:p>
    <w:p w14:paraId="5F44E940" w14:textId="4A71EA8B" w:rsidR="00496D62" w:rsidRDefault="00496D62" w:rsidP="00496D62">
      <w:pPr>
        <w:spacing w:after="120" w:line="240" w:lineRule="auto"/>
        <w:rPr>
          <w:rFonts w:ascii="Calibri" w:eastAsia="Times New Roman" w:hAnsi="Calibri" w:cs="Calibri"/>
          <w:i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>This is the submission template for responding to the</w:t>
      </w:r>
      <w:r w:rsidR="001D04B0" w:rsidRPr="001D04B0">
        <w:t xml:space="preserve"> </w:t>
      </w:r>
      <w:r w:rsidR="001D04B0">
        <w:rPr>
          <w:rFonts w:ascii="Calibri" w:eastAsia="Times New Roman" w:hAnsi="Calibri" w:cs="Times New Roman"/>
          <w:lang w:eastAsia="ko-KR"/>
        </w:rPr>
        <w:t>consultation document</w:t>
      </w:r>
      <w:r w:rsidR="001D04B0" w:rsidRPr="001D04B0">
        <w:rPr>
          <w:rFonts w:ascii="Calibri" w:eastAsia="Times New Roman" w:hAnsi="Calibri" w:cs="Times New Roman"/>
          <w:lang w:eastAsia="ko-KR"/>
        </w:rPr>
        <w:t xml:space="preserve"> </w:t>
      </w:r>
      <w:r w:rsidR="004E7BAE">
        <w:rPr>
          <w:rFonts w:ascii="Calibri" w:eastAsia="Times New Roman" w:hAnsi="Calibri" w:cs="Times New Roman"/>
          <w:i/>
          <w:iCs/>
          <w:lang w:eastAsia="ko-KR"/>
        </w:rPr>
        <w:t xml:space="preserve">Developing a Regulatory Framework for Offshore Renewable Energy. </w:t>
      </w:r>
      <w:r w:rsidRPr="00496D62">
        <w:rPr>
          <w:rFonts w:ascii="Calibri" w:eastAsia="Times New Roman" w:hAnsi="Calibri" w:cs="Times New Roman"/>
          <w:lang w:eastAsia="ko-KR"/>
        </w:rPr>
        <w:t>The Ministry of Business, Innovation and Employment (</w:t>
      </w:r>
      <w:r w:rsidRPr="00496D62">
        <w:rPr>
          <w:rFonts w:ascii="Calibri" w:eastAsia="Times New Roman" w:hAnsi="Calibri" w:cs="Times New Roman"/>
          <w:b/>
          <w:bCs/>
          <w:lang w:eastAsia="ko-KR"/>
        </w:rPr>
        <w:t>MBIE</w:t>
      </w:r>
      <w:r w:rsidRPr="00496D62">
        <w:rPr>
          <w:rFonts w:ascii="Calibri" w:eastAsia="Times New Roman" w:hAnsi="Calibri" w:cs="Times New Roman"/>
          <w:lang w:eastAsia="ko-KR"/>
        </w:rPr>
        <w:t xml:space="preserve">) seeks your comments by </w:t>
      </w:r>
      <w:r w:rsidRPr="001357F5">
        <w:rPr>
          <w:rFonts w:ascii="Calibri" w:eastAsia="Times New Roman" w:hAnsi="Calibri" w:cs="Times New Roman"/>
          <w:b/>
          <w:bCs/>
          <w:lang w:eastAsia="ko-KR"/>
        </w:rPr>
        <w:t>5pm on</w:t>
      </w:r>
      <w:r w:rsidRPr="001357F5">
        <w:rPr>
          <w:rFonts w:ascii="Calibri" w:eastAsia="Times New Roman" w:hAnsi="Calibri" w:cs="Times New Roman"/>
          <w:b/>
          <w:lang w:eastAsia="ko-KR"/>
        </w:rPr>
        <w:t xml:space="preserve"> </w:t>
      </w:r>
      <w:r w:rsidR="00864BAF">
        <w:rPr>
          <w:rFonts w:ascii="Calibri" w:eastAsia="Times New Roman" w:hAnsi="Calibri" w:cs="Times New Roman"/>
          <w:b/>
          <w:lang w:eastAsia="ko-KR"/>
        </w:rPr>
        <w:t>Thursday</w:t>
      </w:r>
      <w:r w:rsidR="00E1416F" w:rsidRPr="001357F5">
        <w:rPr>
          <w:rFonts w:ascii="Calibri" w:eastAsia="Times New Roman" w:hAnsi="Calibri" w:cs="Times New Roman"/>
          <w:b/>
          <w:lang w:eastAsia="ko-KR"/>
        </w:rPr>
        <w:t xml:space="preserve">, </w:t>
      </w:r>
      <w:r w:rsidR="00864BAF" w:rsidRPr="00864BAF">
        <w:rPr>
          <w:rFonts w:ascii="Calibri" w:eastAsia="Times New Roman" w:hAnsi="Calibri" w:cs="Times New Roman"/>
          <w:b/>
          <w:lang w:eastAsia="ko-KR"/>
        </w:rPr>
        <w:t>02</w:t>
      </w:r>
      <w:r w:rsidR="00BB2313" w:rsidRPr="00864BAF">
        <w:rPr>
          <w:rFonts w:ascii="Calibri" w:eastAsia="Times New Roman" w:hAnsi="Calibri" w:cs="Times New Roman"/>
          <w:b/>
          <w:lang w:eastAsia="ko-KR"/>
        </w:rPr>
        <w:t xml:space="preserve"> November </w:t>
      </w:r>
      <w:r w:rsidR="004B1EFE" w:rsidRPr="00864BAF">
        <w:rPr>
          <w:rFonts w:ascii="Calibri" w:eastAsia="Times New Roman" w:hAnsi="Calibri" w:cs="Times New Roman"/>
          <w:b/>
          <w:lang w:eastAsia="ko-KR"/>
        </w:rPr>
        <w:t>2023</w:t>
      </w:r>
      <w:r w:rsidRPr="00864BAF">
        <w:rPr>
          <w:rFonts w:ascii="Calibri" w:eastAsia="Times New Roman" w:hAnsi="Calibri" w:cs="Calibri"/>
          <w:lang w:eastAsia="ko-KR"/>
        </w:rPr>
        <w:t>.</w:t>
      </w:r>
      <w:r w:rsidRPr="00496D62">
        <w:rPr>
          <w:rFonts w:ascii="Calibri" w:eastAsia="Times New Roman" w:hAnsi="Calibri" w:cs="Calibri"/>
          <w:i/>
          <w:lang w:eastAsia="ko-KR"/>
        </w:rPr>
        <w:t xml:space="preserve"> </w:t>
      </w:r>
    </w:p>
    <w:p w14:paraId="71B531F6" w14:textId="77777777" w:rsidR="00496D62" w:rsidRPr="00496D62" w:rsidRDefault="00496D62" w:rsidP="00496D62">
      <w:pPr>
        <w:spacing w:before="120" w:after="120" w:line="240" w:lineRule="auto"/>
        <w:rPr>
          <w:rFonts w:ascii="Calibri" w:eastAsia="Times New Roman" w:hAnsi="Calibri" w:cs="Times New Roman"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>Please make your submission as follows:</w:t>
      </w:r>
    </w:p>
    <w:p w14:paraId="5CB94B93" w14:textId="4152A4C8" w:rsidR="001D04B0" w:rsidRPr="0053388D" w:rsidRDefault="00496D62" w:rsidP="00E1416F">
      <w:pPr>
        <w:pStyle w:val="ListParagraph"/>
        <w:numPr>
          <w:ilvl w:val="0"/>
          <w:numId w:val="2"/>
        </w:numPr>
        <w:spacing w:before="120" w:after="60" w:line="270" w:lineRule="exact"/>
        <w:ind w:left="357" w:hanging="357"/>
        <w:contextualSpacing w:val="0"/>
        <w:rPr>
          <w:rFonts w:ascii="Calibri" w:eastAsia="Times New Roman" w:hAnsi="Calibri" w:cs="Times New Roman"/>
          <w:lang w:eastAsia="ko-KR"/>
        </w:rPr>
      </w:pPr>
      <w:r w:rsidRPr="001D04B0">
        <w:rPr>
          <w:rFonts w:ascii="Calibri" w:eastAsia="Times New Roman" w:hAnsi="Calibri" w:cs="Times New Roman"/>
          <w:lang w:eastAsia="ko-KR"/>
        </w:rPr>
        <w:t>Fill out</w:t>
      </w:r>
      <w:r w:rsidRPr="0053388D">
        <w:rPr>
          <w:rFonts w:ascii="Calibri" w:eastAsia="Times New Roman" w:hAnsi="Calibri" w:cs="Times New Roman"/>
          <w:lang w:eastAsia="ko-KR"/>
        </w:rPr>
        <w:t xml:space="preserve"> your </w:t>
      </w:r>
      <w:r w:rsidR="001D04B0" w:rsidRPr="0053388D">
        <w:rPr>
          <w:rFonts w:ascii="Calibri" w:eastAsia="Times New Roman" w:hAnsi="Calibri" w:cs="Times New Roman"/>
          <w:lang w:eastAsia="ko-KR"/>
        </w:rPr>
        <w:t>details under the</w:t>
      </w:r>
      <w:r w:rsidRPr="0053388D">
        <w:rPr>
          <w:rFonts w:ascii="Calibri" w:eastAsia="Times New Roman" w:hAnsi="Calibri" w:cs="Times New Roman"/>
          <w:lang w:eastAsia="ko-KR"/>
        </w:rPr>
        <w:t xml:space="preserve"> “Your name and organisation”</w:t>
      </w:r>
      <w:r w:rsidR="001D04B0" w:rsidRPr="0053388D">
        <w:rPr>
          <w:rFonts w:ascii="Calibri" w:eastAsia="Times New Roman" w:hAnsi="Calibri" w:cs="Times New Roman"/>
          <w:lang w:eastAsia="ko-KR"/>
        </w:rPr>
        <w:t xml:space="preserve"> heading</w:t>
      </w:r>
      <w:r w:rsidR="00E1416F">
        <w:rPr>
          <w:rFonts w:ascii="Calibri" w:eastAsia="Times New Roman" w:hAnsi="Calibri" w:cs="Times New Roman"/>
          <w:lang w:eastAsia="ko-KR"/>
        </w:rPr>
        <w:t xml:space="preserve"> and</w:t>
      </w:r>
      <w:r w:rsidR="00532EBA">
        <w:rPr>
          <w:rFonts w:ascii="Calibri" w:eastAsia="Times New Roman" w:hAnsi="Calibri" w:cs="Times New Roman"/>
          <w:lang w:eastAsia="ko-KR"/>
        </w:rPr>
        <w:t>, if applicable,</w:t>
      </w:r>
      <w:r w:rsidR="00E1416F">
        <w:rPr>
          <w:rFonts w:ascii="Calibri" w:eastAsia="Times New Roman" w:hAnsi="Calibri" w:cs="Times New Roman"/>
          <w:lang w:eastAsia="ko-KR"/>
        </w:rPr>
        <w:t xml:space="preserve"> </w:t>
      </w:r>
      <w:r w:rsidR="00E963CE">
        <w:rPr>
          <w:rFonts w:ascii="Calibri" w:eastAsia="Times New Roman" w:hAnsi="Calibri" w:cs="Times New Roman"/>
          <w:lang w:eastAsia="ko-KR"/>
        </w:rPr>
        <w:t xml:space="preserve">check the boxes underneath on privacy and confidentiality. </w:t>
      </w:r>
      <w:r w:rsidR="001D04B0" w:rsidRPr="0053388D">
        <w:rPr>
          <w:rFonts w:ascii="Calibri" w:eastAsia="Times New Roman" w:hAnsi="Calibri" w:cs="Times New Roman"/>
          <w:lang w:eastAsia="ko-KR"/>
        </w:rPr>
        <w:t xml:space="preserve"> </w:t>
      </w:r>
    </w:p>
    <w:p w14:paraId="71A54DBB" w14:textId="2F089409" w:rsidR="001D04B0" w:rsidRPr="0053388D" w:rsidRDefault="00496D62" w:rsidP="00E1416F">
      <w:pPr>
        <w:pStyle w:val="ListParagraph"/>
        <w:numPr>
          <w:ilvl w:val="0"/>
          <w:numId w:val="2"/>
        </w:numPr>
        <w:spacing w:before="120" w:after="60" w:line="270" w:lineRule="exact"/>
        <w:ind w:left="357" w:hanging="357"/>
        <w:contextualSpacing w:val="0"/>
        <w:rPr>
          <w:rFonts w:ascii="Calibri" w:eastAsia="Times New Roman" w:hAnsi="Calibri" w:cs="Times New Roman"/>
          <w:lang w:eastAsia="ko-KR"/>
        </w:rPr>
      </w:pPr>
      <w:r w:rsidRPr="001D04B0">
        <w:rPr>
          <w:rFonts w:ascii="Calibri" w:eastAsia="Times New Roman" w:hAnsi="Calibri" w:cs="Times New Roman"/>
          <w:lang w:eastAsia="ko-KR"/>
        </w:rPr>
        <w:t xml:space="preserve">Fill out your responses to the discussion document questions. Your submission may respond to any or </w:t>
      </w:r>
      <w:proofErr w:type="gramStart"/>
      <w:r w:rsidRPr="001D04B0">
        <w:rPr>
          <w:rFonts w:ascii="Calibri" w:eastAsia="Times New Roman" w:hAnsi="Calibri" w:cs="Times New Roman"/>
          <w:lang w:eastAsia="ko-KR"/>
        </w:rPr>
        <w:t>all of</w:t>
      </w:r>
      <w:proofErr w:type="gramEnd"/>
      <w:r w:rsidRPr="001D04B0">
        <w:rPr>
          <w:rFonts w:ascii="Calibri" w:eastAsia="Times New Roman" w:hAnsi="Calibri" w:cs="Times New Roman"/>
          <w:lang w:eastAsia="ko-KR"/>
        </w:rPr>
        <w:t xml:space="preserve"> the questions. Where possible, please include evidence to support your views, for example references to independent research, facts and figures, or relevant examples.</w:t>
      </w:r>
      <w:r w:rsidR="0053388D">
        <w:rPr>
          <w:rFonts w:ascii="Calibri" w:eastAsia="Times New Roman" w:hAnsi="Calibri" w:cs="Times New Roman"/>
          <w:lang w:eastAsia="ko-KR"/>
        </w:rPr>
        <w:t xml:space="preserve"> </w:t>
      </w:r>
      <w:r w:rsidRPr="0053388D">
        <w:rPr>
          <w:rFonts w:ascii="Calibri" w:eastAsia="Times New Roman" w:hAnsi="Calibri" w:cs="Times New Roman"/>
          <w:lang w:eastAsia="ko-KR"/>
        </w:rPr>
        <w:t>If you would like to make other comments not covered by the questions, please provide these in the “</w:t>
      </w:r>
      <w:r w:rsidR="004E7BAE">
        <w:rPr>
          <w:rFonts w:ascii="Calibri" w:eastAsia="Times New Roman" w:hAnsi="Calibri" w:cs="Times New Roman"/>
          <w:lang w:eastAsia="ko-KR"/>
        </w:rPr>
        <w:t xml:space="preserve">General </w:t>
      </w:r>
      <w:r w:rsidRPr="0053388D">
        <w:rPr>
          <w:rFonts w:ascii="Calibri" w:eastAsia="Times New Roman" w:hAnsi="Calibri" w:cs="Times New Roman"/>
          <w:lang w:eastAsia="ko-KR"/>
        </w:rPr>
        <w:t>comments” section</w:t>
      </w:r>
      <w:r w:rsidR="004E7BAE">
        <w:rPr>
          <w:rFonts w:ascii="Calibri" w:eastAsia="Times New Roman" w:hAnsi="Calibri" w:cs="Times New Roman"/>
          <w:lang w:eastAsia="ko-KR"/>
        </w:rPr>
        <w:t xml:space="preserve"> at the end of the template</w:t>
      </w:r>
      <w:r w:rsidRPr="0053388D">
        <w:rPr>
          <w:rFonts w:ascii="Calibri" w:eastAsia="Times New Roman" w:hAnsi="Calibri" w:cs="Times New Roman"/>
          <w:lang w:eastAsia="ko-KR"/>
        </w:rPr>
        <w:t xml:space="preserve">. </w:t>
      </w:r>
    </w:p>
    <w:p w14:paraId="7A9E2C06" w14:textId="68EEDFF8" w:rsidR="00D47FF3" w:rsidRPr="00D47FF3" w:rsidRDefault="00532EBA" w:rsidP="00D47FF3">
      <w:pPr>
        <w:pStyle w:val="ListParagraph"/>
        <w:numPr>
          <w:ilvl w:val="0"/>
          <w:numId w:val="2"/>
        </w:numPr>
        <w:spacing w:before="120" w:after="60" w:line="270" w:lineRule="exact"/>
        <w:ind w:hanging="357"/>
        <w:contextualSpacing w:val="0"/>
      </w:pPr>
      <w:r>
        <w:rPr>
          <w:rFonts w:ascii="Calibri" w:eastAsia="Times New Roman" w:hAnsi="Calibri" w:cs="Times New Roman"/>
          <w:lang w:eastAsia="ko-KR"/>
        </w:rPr>
        <w:t>Before</w:t>
      </w:r>
      <w:r w:rsidR="00D47FF3">
        <w:rPr>
          <w:rFonts w:ascii="Calibri" w:eastAsia="Times New Roman" w:hAnsi="Calibri" w:cs="Times New Roman"/>
          <w:lang w:eastAsia="ko-KR"/>
        </w:rPr>
        <w:t xml:space="preserve"> sending </w:t>
      </w:r>
      <w:r w:rsidR="003F6E13">
        <w:rPr>
          <w:rFonts w:ascii="Calibri" w:eastAsia="Times New Roman" w:hAnsi="Calibri" w:cs="Times New Roman"/>
          <w:lang w:eastAsia="ko-KR"/>
        </w:rPr>
        <w:t xml:space="preserve">us </w:t>
      </w:r>
      <w:r w:rsidR="00D47FF3">
        <w:rPr>
          <w:rFonts w:ascii="Calibri" w:eastAsia="Times New Roman" w:hAnsi="Calibri" w:cs="Times New Roman"/>
          <w:lang w:eastAsia="ko-KR"/>
        </w:rPr>
        <w:t>your submission:</w:t>
      </w:r>
    </w:p>
    <w:p w14:paraId="1962A3A8" w14:textId="79FEF418" w:rsidR="00D47FF3" w:rsidRDefault="0053388D" w:rsidP="00D47FF3">
      <w:pPr>
        <w:pStyle w:val="ListParagraph"/>
        <w:numPr>
          <w:ilvl w:val="1"/>
          <w:numId w:val="2"/>
        </w:numPr>
        <w:spacing w:before="120" w:after="60" w:line="270" w:lineRule="exact"/>
        <w:ind w:hanging="357"/>
        <w:contextualSpacing w:val="0"/>
      </w:pPr>
      <w:r>
        <w:rPr>
          <w:rFonts w:ascii="Calibri" w:eastAsia="Times New Roman" w:hAnsi="Calibri" w:cs="Times New Roman"/>
          <w:lang w:eastAsia="ko-KR"/>
        </w:rPr>
        <w:t>d</w:t>
      </w:r>
      <w:r w:rsidR="00496D62" w:rsidRPr="00496D62">
        <w:t>elet</w:t>
      </w:r>
      <w:r w:rsidR="00D47FF3">
        <w:t xml:space="preserve">e </w:t>
      </w:r>
      <w:r w:rsidR="00496D62" w:rsidRPr="00496D62">
        <w:t>th</w:t>
      </w:r>
      <w:r w:rsidR="00E963CE">
        <w:t xml:space="preserve">is </w:t>
      </w:r>
      <w:r w:rsidR="00496D62" w:rsidRPr="00496D62">
        <w:t>first page of instructions</w:t>
      </w:r>
      <w:r w:rsidR="00D47FF3">
        <w:t>;</w:t>
      </w:r>
      <w:r w:rsidR="00532EBA">
        <w:t xml:space="preserve"> and</w:t>
      </w:r>
    </w:p>
    <w:p w14:paraId="4348B1B2" w14:textId="4770336D" w:rsidR="00D47FF3" w:rsidRDefault="00532EBA" w:rsidP="00D47FF3">
      <w:pPr>
        <w:pStyle w:val="ListParagraph"/>
        <w:numPr>
          <w:ilvl w:val="1"/>
          <w:numId w:val="2"/>
        </w:numPr>
        <w:spacing w:before="120" w:after="60" w:line="270" w:lineRule="exact"/>
        <w:ind w:hanging="357"/>
        <w:contextualSpacing w:val="0"/>
      </w:pPr>
      <w:r>
        <w:t>i</w:t>
      </w:r>
      <w:r w:rsidR="00D47FF3">
        <w:t>f your submission contains any confidential information, please:</w:t>
      </w:r>
    </w:p>
    <w:p w14:paraId="4483A0CB" w14:textId="128EA5AA" w:rsidR="003F6E13" w:rsidRDefault="003F6E13" w:rsidP="00D47FF3">
      <w:pPr>
        <w:pStyle w:val="ListParagraph"/>
        <w:numPr>
          <w:ilvl w:val="0"/>
          <w:numId w:val="11"/>
        </w:numPr>
        <w:spacing w:before="120" w:after="60" w:line="270" w:lineRule="exact"/>
        <w:ind w:hanging="357"/>
        <w:contextualSpacing w:val="0"/>
      </w:pPr>
      <w:r>
        <w:t>s</w:t>
      </w:r>
      <w:r w:rsidR="00D47FF3">
        <w:t xml:space="preserve">tate this in the cover page or in the e-mail accompanying your submission, </w:t>
      </w:r>
    </w:p>
    <w:p w14:paraId="249C015B" w14:textId="29E6B3DB" w:rsidR="003F6E13" w:rsidRDefault="003F6E13" w:rsidP="00D47FF3">
      <w:pPr>
        <w:pStyle w:val="ListParagraph"/>
        <w:numPr>
          <w:ilvl w:val="0"/>
          <w:numId w:val="11"/>
        </w:numPr>
        <w:spacing w:before="120" w:after="60" w:line="270" w:lineRule="exact"/>
        <w:ind w:hanging="357"/>
        <w:contextualSpacing w:val="0"/>
      </w:pPr>
      <w:r>
        <w:t>s</w:t>
      </w:r>
      <w:r w:rsidR="00D47FF3">
        <w:t>et out clearly which parts you consider should be withheld and the grounds under the Official Information Act 1982 (</w:t>
      </w:r>
      <w:r w:rsidR="00D47FF3" w:rsidRPr="00D47FF3">
        <w:rPr>
          <w:b/>
          <w:bCs/>
        </w:rPr>
        <w:t>OIA</w:t>
      </w:r>
      <w:r w:rsidR="00D47FF3">
        <w:t>) that you believe apply</w:t>
      </w:r>
      <w:r>
        <w:t xml:space="preserve">, and </w:t>
      </w:r>
    </w:p>
    <w:p w14:paraId="0FECB868" w14:textId="28181A3C" w:rsidR="003F6E13" w:rsidRPr="00A73AEE" w:rsidRDefault="003F6E13" w:rsidP="003F6E13">
      <w:pPr>
        <w:pStyle w:val="ListParagraph"/>
        <w:numPr>
          <w:ilvl w:val="0"/>
          <w:numId w:val="11"/>
        </w:numPr>
        <w:spacing w:after="142" w:line="240" w:lineRule="auto"/>
        <w:contextualSpacing w:val="0"/>
      </w:pPr>
      <w:r w:rsidRPr="00A73AEE">
        <w:t>provide a separate version excluding the relevant information for publication.</w:t>
      </w:r>
    </w:p>
    <w:p w14:paraId="7D298B40" w14:textId="7D8470F5" w:rsidR="0053388D" w:rsidRPr="0053388D" w:rsidRDefault="00532EBA" w:rsidP="0053388D">
      <w:pPr>
        <w:pStyle w:val="ListParagraph"/>
        <w:numPr>
          <w:ilvl w:val="0"/>
          <w:numId w:val="2"/>
        </w:numPr>
        <w:spacing w:before="120" w:after="120" w:line="270" w:lineRule="exact"/>
        <w:rPr>
          <w:rFonts w:ascii="Calibri" w:eastAsia="Times New Roman" w:hAnsi="Calibri" w:cs="Times New Roman"/>
          <w:lang w:eastAsia="ko-KR"/>
        </w:rPr>
      </w:pPr>
      <w:r>
        <w:rPr>
          <w:rFonts w:ascii="Calibri" w:eastAsia="Times New Roman" w:hAnsi="Calibri" w:cs="Times New Roman"/>
          <w:lang w:eastAsia="ko-KR"/>
        </w:rPr>
        <w:t>Submit</w:t>
      </w:r>
      <w:r w:rsidR="0053388D">
        <w:rPr>
          <w:rFonts w:ascii="Calibri" w:eastAsia="Times New Roman" w:hAnsi="Calibri" w:cs="Times New Roman"/>
          <w:lang w:eastAsia="ko-KR"/>
        </w:rPr>
        <w:t xml:space="preserve"> your submission by:</w:t>
      </w:r>
    </w:p>
    <w:p w14:paraId="4F496719" w14:textId="6708B80D" w:rsidR="0053388D" w:rsidRDefault="004B1EFE" w:rsidP="0053388D">
      <w:pPr>
        <w:pStyle w:val="Default"/>
        <w:numPr>
          <w:ilvl w:val="0"/>
          <w:numId w:val="7"/>
        </w:numPr>
        <w:spacing w:after="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emailing this template </w:t>
      </w:r>
      <w:r w:rsidR="0053388D">
        <w:rPr>
          <w:rFonts w:ascii="Calibri" w:hAnsi="Calibri" w:cs="Calibri"/>
          <w:sz w:val="22"/>
          <w:szCs w:val="22"/>
        </w:rPr>
        <w:t xml:space="preserve">as a </w:t>
      </w:r>
      <w:r w:rsidR="00DB7BC4">
        <w:rPr>
          <w:rFonts w:ascii="Calibri" w:hAnsi="Calibri" w:cs="Calibri"/>
          <w:sz w:val="22"/>
          <w:szCs w:val="22"/>
        </w:rPr>
        <w:t xml:space="preserve">PDF or </w:t>
      </w:r>
      <w:r w:rsidR="0053388D">
        <w:rPr>
          <w:rFonts w:ascii="Calibri" w:hAnsi="Calibri" w:cs="Calibri"/>
          <w:sz w:val="22"/>
          <w:szCs w:val="22"/>
        </w:rPr>
        <w:t>Microsoft Word document to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Pr="00A84156">
          <w:rPr>
            <w:rStyle w:val="Hyperlink"/>
            <w:rFonts w:ascii="Calibri" w:hAnsi="Calibri" w:cs="Calibri"/>
            <w:sz w:val="22"/>
            <w:szCs w:val="22"/>
          </w:rPr>
          <w:t>offshorerenewables@mbie.govt.nz</w:t>
        </w:r>
      </w:hyperlink>
      <w:r w:rsidR="0053388D">
        <w:rPr>
          <w:rFonts w:ascii="Calibri" w:hAnsi="Calibri" w:cs="Calibri"/>
          <w:sz w:val="22"/>
          <w:szCs w:val="22"/>
        </w:rPr>
        <w:t>; or</w:t>
      </w:r>
    </w:p>
    <w:p w14:paraId="7389EB6B" w14:textId="426F9F91" w:rsidR="0053388D" w:rsidRDefault="0053388D" w:rsidP="0053388D">
      <w:pPr>
        <w:pStyle w:val="Default"/>
        <w:numPr>
          <w:ilvl w:val="0"/>
          <w:numId w:val="7"/>
        </w:numPr>
        <w:spacing w:after="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mailing your submission to: </w:t>
      </w:r>
    </w:p>
    <w:p w14:paraId="0D8410DF" w14:textId="21BBA9F8" w:rsidR="003F6E13" w:rsidRDefault="003F6E13" w:rsidP="004B1EFE">
      <w:pPr>
        <w:spacing w:after="0" w:line="240" w:lineRule="auto"/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Energy Resources Markets Branch</w:t>
      </w:r>
    </w:p>
    <w:p w14:paraId="285F472A" w14:textId="2F132BCD" w:rsidR="004B1EFE" w:rsidRPr="004B1EFE" w:rsidRDefault="004B1EFE" w:rsidP="004B1EFE">
      <w:pPr>
        <w:spacing w:after="0" w:line="240" w:lineRule="auto"/>
        <w:ind w:left="1440"/>
        <w:rPr>
          <w:rFonts w:ascii="Calibri" w:hAnsi="Calibri" w:cs="Calibri"/>
          <w:color w:val="000000"/>
        </w:rPr>
      </w:pPr>
      <w:r w:rsidRPr="004B1EFE">
        <w:rPr>
          <w:rFonts w:ascii="Calibri" w:hAnsi="Calibri" w:cs="Calibri"/>
          <w:color w:val="000000"/>
        </w:rPr>
        <w:t>Ministry of Business, Innovation and Employment</w:t>
      </w:r>
    </w:p>
    <w:p w14:paraId="6A39CD8D" w14:textId="77777777" w:rsidR="004B1EFE" w:rsidRPr="004B1EFE" w:rsidRDefault="004B1EFE" w:rsidP="004B1EFE">
      <w:pPr>
        <w:spacing w:after="0" w:line="240" w:lineRule="auto"/>
        <w:ind w:left="1440"/>
        <w:rPr>
          <w:rFonts w:ascii="Calibri" w:hAnsi="Calibri" w:cs="Calibri"/>
          <w:color w:val="000000"/>
        </w:rPr>
      </w:pPr>
      <w:r w:rsidRPr="004B1EFE">
        <w:rPr>
          <w:rFonts w:ascii="Calibri" w:hAnsi="Calibri" w:cs="Calibri"/>
          <w:color w:val="000000"/>
        </w:rPr>
        <w:t>15 Stout Street</w:t>
      </w:r>
    </w:p>
    <w:p w14:paraId="468F9C5F" w14:textId="77777777" w:rsidR="004B1EFE" w:rsidRPr="004B1EFE" w:rsidRDefault="004B1EFE" w:rsidP="004B1EFE">
      <w:pPr>
        <w:spacing w:after="0" w:line="240" w:lineRule="auto"/>
        <w:ind w:left="1440"/>
        <w:rPr>
          <w:rFonts w:ascii="Calibri" w:hAnsi="Calibri" w:cs="Calibri"/>
          <w:color w:val="000000"/>
        </w:rPr>
      </w:pPr>
      <w:r w:rsidRPr="004B1EFE">
        <w:rPr>
          <w:rFonts w:ascii="Calibri" w:hAnsi="Calibri" w:cs="Calibri"/>
          <w:color w:val="000000"/>
        </w:rPr>
        <w:t>PO Box 1473, Wellington 6140</w:t>
      </w:r>
    </w:p>
    <w:p w14:paraId="702E9766" w14:textId="77777777" w:rsidR="004B1EFE" w:rsidRDefault="004B1EFE" w:rsidP="004B1EFE">
      <w:pPr>
        <w:spacing w:line="240" w:lineRule="auto"/>
        <w:ind w:left="1440"/>
        <w:rPr>
          <w:rFonts w:ascii="Calibri" w:hAnsi="Calibri" w:cs="Calibri"/>
          <w:color w:val="000000"/>
        </w:rPr>
      </w:pPr>
      <w:r w:rsidRPr="004B1EFE">
        <w:rPr>
          <w:rFonts w:ascii="Calibri" w:hAnsi="Calibri" w:cs="Calibri"/>
          <w:color w:val="000000"/>
        </w:rPr>
        <w:t>Attention: Offshore Renewable Energy Submissions</w:t>
      </w:r>
    </w:p>
    <w:p w14:paraId="62AFC1D5" w14:textId="44DCC8C2" w:rsidR="0053388D" w:rsidRPr="00496D62" w:rsidRDefault="00496D62" w:rsidP="004B1EFE">
      <w:pPr>
        <w:spacing w:after="0" w:line="240" w:lineRule="auto"/>
        <w:rPr>
          <w:rFonts w:ascii="Calibri" w:eastAsia="Times New Roman" w:hAnsi="Calibri" w:cs="Times New Roman"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 xml:space="preserve">Please direct any questions that you have in relation to the submissions process to </w:t>
      </w:r>
      <w:hyperlink r:id="rId8" w:history="1">
        <w:r w:rsidR="004B1EFE">
          <w:rPr>
            <w:rStyle w:val="Hyperlink"/>
            <w:rFonts w:cstheme="minorHAnsi"/>
          </w:rPr>
          <w:t>offshorerenewables@mbie.govt.nz</w:t>
        </w:r>
      </w:hyperlink>
      <w:r w:rsidR="0053388D">
        <w:rPr>
          <w:rFonts w:ascii="Calibri" w:eastAsia="Times New Roman" w:hAnsi="Calibri" w:cs="Times New Roman"/>
          <w:lang w:eastAsia="ko-KR"/>
        </w:rPr>
        <w:t>.</w:t>
      </w:r>
    </w:p>
    <w:p w14:paraId="107CBE82" w14:textId="77777777" w:rsidR="00E1416F" w:rsidRPr="00E1416F" w:rsidRDefault="00E1416F" w:rsidP="00E963CE">
      <w:pPr>
        <w:pStyle w:val="BodyText-Numbered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0"/>
        <w:rPr>
          <w:b/>
          <w:bCs/>
          <w:sz w:val="20"/>
          <w:szCs w:val="20"/>
        </w:rPr>
      </w:pPr>
      <w:r w:rsidRPr="00E1416F">
        <w:rPr>
          <w:b/>
          <w:bCs/>
          <w:sz w:val="20"/>
          <w:szCs w:val="20"/>
        </w:rPr>
        <w:t>Release of Information</w:t>
      </w:r>
    </w:p>
    <w:p w14:paraId="37BF99E2" w14:textId="0A5AE97A" w:rsidR="00496D62" w:rsidRPr="00496D62" w:rsidRDefault="00921AC2" w:rsidP="00532EBA">
      <w:pPr>
        <w:pStyle w:val="BodyText-Numbered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/>
        <w:rPr>
          <w:sz w:val="20"/>
          <w:szCs w:val="20"/>
        </w:rPr>
      </w:pPr>
      <w:r w:rsidRPr="0053388D">
        <w:rPr>
          <w:sz w:val="20"/>
          <w:szCs w:val="20"/>
        </w:rPr>
        <w:t>Please note that</w:t>
      </w:r>
      <w:r>
        <w:rPr>
          <w:sz w:val="20"/>
          <w:szCs w:val="20"/>
        </w:rPr>
        <w:t xml:space="preserve"> s</w:t>
      </w:r>
      <w:r w:rsidRPr="0053388D">
        <w:rPr>
          <w:sz w:val="20"/>
          <w:szCs w:val="20"/>
        </w:rPr>
        <w:t xml:space="preserve">ubmissions are subject to the </w:t>
      </w:r>
      <w:r>
        <w:rPr>
          <w:sz w:val="20"/>
          <w:szCs w:val="20"/>
        </w:rPr>
        <w:t>OIA</w:t>
      </w:r>
      <w:r w:rsidRPr="0053388D">
        <w:rPr>
          <w:sz w:val="20"/>
          <w:szCs w:val="20"/>
        </w:rPr>
        <w:t xml:space="preserve"> </w:t>
      </w:r>
      <w:r>
        <w:rPr>
          <w:sz w:val="20"/>
          <w:szCs w:val="20"/>
        </w:rPr>
        <w:t>and t</w:t>
      </w:r>
      <w:r w:rsidRPr="0053388D">
        <w:rPr>
          <w:sz w:val="20"/>
          <w:szCs w:val="20"/>
        </w:rPr>
        <w:t>he Privacy Act 2020.</w:t>
      </w:r>
      <w:r>
        <w:rPr>
          <w:sz w:val="20"/>
          <w:szCs w:val="20"/>
        </w:rPr>
        <w:t xml:space="preserve"> In line with this, </w:t>
      </w:r>
      <w:r w:rsidR="0057676E" w:rsidRPr="0057676E">
        <w:rPr>
          <w:sz w:val="20"/>
          <w:szCs w:val="20"/>
        </w:rPr>
        <w:t>MBIE intends to upload copies of submissions received to MBIE’s website at www.mbie.govt.nz. MBIE will consider you to have consented to uploading by making a submission unless you clearly specify otherwise in your submission.</w:t>
      </w:r>
      <w:r w:rsidR="0057676E">
        <w:rPr>
          <w:sz w:val="20"/>
          <w:szCs w:val="20"/>
        </w:rPr>
        <w:t xml:space="preserve"> </w:t>
      </w:r>
      <w:r w:rsidR="0057676E" w:rsidRPr="0057676E">
        <w:rPr>
          <w:sz w:val="20"/>
          <w:szCs w:val="20"/>
        </w:rPr>
        <w:t>MBIE will take your views into account when responding to requests under the OIA</w:t>
      </w:r>
      <w:r w:rsidR="0057676E">
        <w:rPr>
          <w:sz w:val="20"/>
          <w:szCs w:val="20"/>
        </w:rPr>
        <w:t xml:space="preserve"> and publishing submissions</w:t>
      </w:r>
      <w:r w:rsidR="0057676E" w:rsidRPr="0057676E">
        <w:rPr>
          <w:sz w:val="20"/>
          <w:szCs w:val="20"/>
        </w:rPr>
        <w:t>. Any decision to withhold information requested under the OIA can be reviewed by the Ombudsman.</w:t>
      </w:r>
      <w:r w:rsidR="0057676E">
        <w:rPr>
          <w:sz w:val="20"/>
          <w:szCs w:val="20"/>
        </w:rPr>
        <w:t xml:space="preserve"> </w:t>
      </w:r>
    </w:p>
    <w:p w14:paraId="4EE1C4F1" w14:textId="73F1D69E" w:rsidR="005A4C6B" w:rsidRDefault="00496D62" w:rsidP="005A4C6B">
      <w:pPr>
        <w:spacing w:after="0" w:line="240" w:lineRule="auto"/>
        <w:rPr>
          <w:rFonts w:ascii="Calibri" w:eastAsia="Times New Roman" w:hAnsi="Calibri" w:cs="Times New Roman"/>
          <w:b/>
          <w:i/>
          <w:iCs/>
          <w:color w:val="006272"/>
          <w:sz w:val="40"/>
          <w:szCs w:val="26"/>
          <w:lang w:eastAsia="ko-KR"/>
        </w:rPr>
      </w:pPr>
      <w:r w:rsidRPr="00496D62">
        <w:rPr>
          <w:rFonts w:ascii="Calibri" w:eastAsia="Times New Roman" w:hAnsi="Calibri" w:cs="Times New Roman"/>
          <w:b/>
          <w:color w:val="006272"/>
          <w:sz w:val="40"/>
          <w:szCs w:val="26"/>
          <w:lang w:eastAsia="ko-KR"/>
        </w:rPr>
        <w:t xml:space="preserve">Submission </w:t>
      </w:r>
      <w:r w:rsidR="00727C63">
        <w:rPr>
          <w:rFonts w:ascii="Calibri" w:eastAsia="Times New Roman" w:hAnsi="Calibri" w:cs="Times New Roman"/>
          <w:b/>
          <w:color w:val="006272"/>
          <w:sz w:val="40"/>
          <w:szCs w:val="26"/>
          <w:lang w:eastAsia="ko-KR"/>
        </w:rPr>
        <w:t xml:space="preserve">on </w:t>
      </w:r>
      <w:r w:rsidR="00B56205" w:rsidRPr="00B56205">
        <w:rPr>
          <w:rFonts w:ascii="Calibri" w:eastAsia="Times New Roman" w:hAnsi="Calibri" w:cs="Times New Roman"/>
          <w:b/>
          <w:i/>
          <w:iCs/>
          <w:color w:val="006272"/>
          <w:sz w:val="40"/>
          <w:szCs w:val="26"/>
          <w:lang w:eastAsia="ko-KR"/>
        </w:rPr>
        <w:t>Developing a Regulatory Framework for Offshore Renewable Energy</w:t>
      </w:r>
    </w:p>
    <w:p w14:paraId="46C9787D" w14:textId="34F14435" w:rsidR="00496D62" w:rsidRPr="00496D62" w:rsidRDefault="00496D62" w:rsidP="005A4C6B">
      <w:pPr>
        <w:spacing w:after="0" w:line="240" w:lineRule="auto"/>
        <w:rPr>
          <w:rFonts w:ascii="Calibri" w:eastAsia="Times New Roman" w:hAnsi="Calibri" w:cs="Times New Roman"/>
          <w:b/>
          <w:color w:val="006272"/>
          <w:sz w:val="30"/>
          <w:lang w:eastAsia="ko-KR"/>
        </w:rPr>
      </w:pPr>
    </w:p>
    <w:tbl>
      <w:tblPr>
        <w:tblW w:w="0" w:type="auto"/>
        <w:tblBorders>
          <w:top w:val="single" w:sz="24" w:space="0" w:color="006272"/>
          <w:bottom w:val="single" w:sz="24" w:space="0" w:color="006272"/>
          <w:insideH w:val="single" w:sz="8" w:space="0" w:color="006272"/>
          <w:insideV w:val="single" w:sz="8" w:space="0" w:color="006272"/>
        </w:tblBorders>
        <w:tblLook w:val="0480" w:firstRow="0" w:lastRow="0" w:firstColumn="1" w:lastColumn="0" w:noHBand="0" w:noVBand="1"/>
      </w:tblPr>
      <w:tblGrid>
        <w:gridCol w:w="1658"/>
        <w:gridCol w:w="7358"/>
      </w:tblGrid>
      <w:tr w:rsidR="00496D62" w:rsidRPr="00496D62" w14:paraId="2CB5B2F1" w14:textId="77777777" w:rsidTr="007D182B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3A201D5D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>Name</w:t>
            </w: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7D135D56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  <w:p w14:paraId="6AF0A34D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</w:tc>
      </w:tr>
      <w:tr w:rsidR="00496D62" w:rsidRPr="00496D62" w14:paraId="4D7C9787" w14:textId="77777777" w:rsidTr="007D182B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6888C316" w14:textId="77777777" w:rsidR="005A4C6B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 xml:space="preserve">Organisation </w:t>
            </w:r>
          </w:p>
          <w:p w14:paraId="519E85AA" w14:textId="74E74D2E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>(</w:t>
            </w:r>
            <w:proofErr w:type="gramStart"/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>if</w:t>
            </w:r>
            <w:proofErr w:type="gramEnd"/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 xml:space="preserve"> applicable)</w:t>
            </w: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497ABADA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  <w:p w14:paraId="045F0CD9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</w:tc>
      </w:tr>
      <w:tr w:rsidR="00496D62" w:rsidRPr="00496D62" w14:paraId="1C7A831F" w14:textId="77777777" w:rsidTr="007D182B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3FCE06CF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>Contact details</w:t>
            </w:r>
          </w:p>
          <w:p w14:paraId="5DE81B33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2C6851DD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  <w:p w14:paraId="39195910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</w:tc>
      </w:tr>
    </w:tbl>
    <w:p w14:paraId="7ACC034B" w14:textId="79A1A424" w:rsidR="002D3B17" w:rsidRPr="002D3B17" w:rsidRDefault="002D3B17" w:rsidP="00496D62">
      <w:pPr>
        <w:spacing w:before="240" w:after="0" w:line="240" w:lineRule="auto"/>
        <w:rPr>
          <w:rFonts w:ascii="Calibri" w:eastAsia="Times New Roman" w:hAnsi="Calibri" w:cs="Times New Roman"/>
          <w:b/>
          <w:color w:val="006272"/>
          <w:sz w:val="30"/>
          <w:lang w:eastAsia="ko-KR"/>
        </w:rPr>
      </w:pPr>
      <w:r w:rsidRPr="002D3B17">
        <w:rPr>
          <w:rFonts w:ascii="Calibri" w:eastAsia="Times New Roman" w:hAnsi="Calibri" w:cs="Times New Roman"/>
          <w:b/>
          <w:color w:val="006272"/>
          <w:sz w:val="30"/>
          <w:lang w:eastAsia="ko-KR"/>
        </w:rPr>
        <w:t xml:space="preserve">Release of information </w:t>
      </w:r>
    </w:p>
    <w:p w14:paraId="628573CB" w14:textId="4CFF0C21" w:rsidR="00427D75" w:rsidRDefault="00427D75" w:rsidP="00496D62">
      <w:pPr>
        <w:spacing w:before="240" w:after="0" w:line="240" w:lineRule="auto"/>
        <w:rPr>
          <w:rFonts w:ascii="Calibri" w:eastAsia="Times New Roman" w:hAnsi="Calibri" w:cs="Times New Roman"/>
          <w:lang w:eastAsia="ko-KR"/>
        </w:rPr>
      </w:pPr>
      <w:r>
        <w:rPr>
          <w:rFonts w:ascii="Calibri" w:eastAsia="Times New Roman" w:hAnsi="Calibri" w:cs="Times New Roman"/>
          <w:lang w:eastAsia="ko-KR"/>
        </w:rPr>
        <w:t xml:space="preserve">Please let us know if you would like any part of your submission to be kept confidential. </w:t>
      </w:r>
    </w:p>
    <w:p w14:paraId="110EC495" w14:textId="69B18249" w:rsidR="00496D62" w:rsidRDefault="00496D62" w:rsidP="00496D62">
      <w:pPr>
        <w:spacing w:before="240" w:after="0" w:line="240" w:lineRule="auto"/>
        <w:rPr>
          <w:rFonts w:ascii="Calibri" w:eastAsia="Times New Roman" w:hAnsi="Calibri" w:cs="Times New Roman"/>
          <w:lang w:eastAsia="ko-KR"/>
        </w:rPr>
      </w:pPr>
      <w:r w:rsidRPr="00496D62">
        <w:rPr>
          <w:rFonts w:ascii="MS Gothic" w:eastAsia="MS Gothic" w:hAnsi="MS Gothic" w:cs="Times New Roman"/>
          <w:lang w:val="en-US" w:eastAsia="ko-K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96D62">
        <w:rPr>
          <w:rFonts w:ascii="MS Gothic" w:eastAsia="MS Gothic" w:hAnsi="MS Gothic" w:cs="Times New Roman"/>
          <w:lang w:val="en-US" w:eastAsia="ko-KR"/>
        </w:rPr>
        <w:instrText xml:space="preserve"> FORMCHECKBOX </w:instrText>
      </w:r>
      <w:r w:rsidR="0078191F">
        <w:rPr>
          <w:rFonts w:ascii="MS Gothic" w:eastAsia="MS Gothic" w:hAnsi="MS Gothic" w:cs="Times New Roman"/>
          <w:lang w:val="en-US" w:eastAsia="ko-KR"/>
        </w:rPr>
      </w:r>
      <w:r w:rsidR="0078191F">
        <w:rPr>
          <w:rFonts w:ascii="MS Gothic" w:eastAsia="MS Gothic" w:hAnsi="MS Gothic" w:cs="Times New Roman"/>
          <w:lang w:val="en-US" w:eastAsia="ko-KR"/>
        </w:rPr>
        <w:fldChar w:fldCharType="separate"/>
      </w:r>
      <w:r w:rsidRPr="00496D62">
        <w:rPr>
          <w:rFonts w:ascii="MS Gothic" w:eastAsia="MS Gothic" w:hAnsi="MS Gothic" w:cs="Times New Roman"/>
          <w:lang w:val="en-US" w:eastAsia="ko-KR"/>
        </w:rPr>
        <w:fldChar w:fldCharType="end"/>
      </w:r>
      <w:bookmarkEnd w:id="0"/>
      <w:r w:rsidRPr="00496D62">
        <w:rPr>
          <w:rFonts w:ascii="MS Gothic" w:eastAsia="MS Gothic" w:hAnsi="MS Gothic" w:cs="Times New Roman"/>
          <w:lang w:val="en-US" w:eastAsia="ko-KR"/>
        </w:rPr>
        <w:t xml:space="preserve"> </w:t>
      </w:r>
      <w:r w:rsidR="00427D75">
        <w:rPr>
          <w:rFonts w:ascii="Calibri" w:eastAsia="Times New Roman" w:hAnsi="Calibri" w:cs="Times New Roman"/>
          <w:lang w:eastAsia="ko-KR"/>
        </w:rPr>
        <w:t xml:space="preserve">I would like to be contacted before the release or use of my submission in the summary of submissions that will be published by MBIE after the consultation. </w:t>
      </w:r>
    </w:p>
    <w:p w14:paraId="7EB9D1A8" w14:textId="77777777" w:rsidR="00427D75" w:rsidRPr="00496D62" w:rsidRDefault="00427D75" w:rsidP="00427D75">
      <w:pPr>
        <w:spacing w:after="0" w:line="240" w:lineRule="auto"/>
        <w:rPr>
          <w:rFonts w:ascii="Calibri" w:eastAsia="Times New Roman" w:hAnsi="Calibri" w:cs="Times New Roman"/>
          <w:lang w:eastAsia="ko-KR"/>
        </w:rPr>
      </w:pPr>
    </w:p>
    <w:p w14:paraId="5A617848" w14:textId="77777777" w:rsidR="00496D62" w:rsidRPr="00496D62" w:rsidRDefault="00496D62" w:rsidP="00496D62">
      <w:pPr>
        <w:spacing w:after="0" w:line="240" w:lineRule="auto"/>
        <w:rPr>
          <w:rFonts w:ascii="Calibri" w:eastAsia="Times New Roman" w:hAnsi="Calibri" w:cs="Times New Roman"/>
          <w:lang w:eastAsia="ko-KR"/>
        </w:rPr>
      </w:pPr>
      <w:r w:rsidRPr="00496D62">
        <w:rPr>
          <w:rFonts w:ascii="MS Gothic" w:eastAsia="MS Gothic" w:hAnsi="MS Gothic" w:cs="Times New Roman"/>
          <w:lang w:val="en-US" w:eastAsia="ko-K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D62">
        <w:rPr>
          <w:rFonts w:ascii="MS Gothic" w:eastAsia="MS Gothic" w:hAnsi="MS Gothic" w:cs="Times New Roman"/>
          <w:lang w:val="en-US" w:eastAsia="ko-KR"/>
        </w:rPr>
        <w:instrText xml:space="preserve"> FORMCHECKBOX </w:instrText>
      </w:r>
      <w:r w:rsidR="0078191F">
        <w:rPr>
          <w:rFonts w:ascii="MS Gothic" w:eastAsia="MS Gothic" w:hAnsi="MS Gothic" w:cs="Times New Roman"/>
          <w:lang w:val="en-US" w:eastAsia="ko-KR"/>
        </w:rPr>
      </w:r>
      <w:r w:rsidR="0078191F">
        <w:rPr>
          <w:rFonts w:ascii="MS Gothic" w:eastAsia="MS Gothic" w:hAnsi="MS Gothic" w:cs="Times New Roman"/>
          <w:lang w:val="en-US" w:eastAsia="ko-KR"/>
        </w:rPr>
        <w:fldChar w:fldCharType="separate"/>
      </w:r>
      <w:r w:rsidRPr="00496D62">
        <w:rPr>
          <w:rFonts w:ascii="MS Gothic" w:eastAsia="MS Gothic" w:hAnsi="MS Gothic" w:cs="Times New Roman"/>
          <w:lang w:val="en-US" w:eastAsia="ko-KR"/>
        </w:rPr>
        <w:fldChar w:fldCharType="end"/>
      </w:r>
      <w:r w:rsidRPr="00496D62">
        <w:rPr>
          <w:rFonts w:ascii="MS Gothic" w:eastAsia="MS Gothic" w:hAnsi="MS Gothic" w:cs="Times New Roman"/>
          <w:lang w:val="en-US" w:eastAsia="ko-KR"/>
        </w:rPr>
        <w:t xml:space="preserve"> </w:t>
      </w:r>
      <w:r w:rsidRPr="00496D62">
        <w:rPr>
          <w:rFonts w:ascii="Calibri" w:eastAsia="Times New Roman" w:hAnsi="Calibri" w:cs="Times New Roman"/>
          <w:lang w:eastAsia="ko-KR"/>
        </w:rPr>
        <w:t xml:space="preserve">I would like my submission (or identified parts of my submission) to be kept </w:t>
      </w:r>
      <w:proofErr w:type="gramStart"/>
      <w:r w:rsidRPr="00496D62">
        <w:rPr>
          <w:rFonts w:ascii="Calibri" w:eastAsia="Times New Roman" w:hAnsi="Calibri" w:cs="Times New Roman"/>
          <w:lang w:eastAsia="ko-KR"/>
        </w:rPr>
        <w:t>confidential, and</w:t>
      </w:r>
      <w:proofErr w:type="gramEnd"/>
      <w:r w:rsidRPr="00496D62">
        <w:rPr>
          <w:rFonts w:ascii="Calibri" w:eastAsia="Times New Roman" w:hAnsi="Calibri" w:cs="Times New Roman"/>
          <w:lang w:eastAsia="ko-KR"/>
        </w:rPr>
        <w:t xml:space="preserve"> </w:t>
      </w:r>
      <w:r w:rsidRPr="00496D62">
        <w:rPr>
          <w:rFonts w:ascii="Calibri" w:eastAsia="Times New Roman" w:hAnsi="Calibri" w:cs="Times New Roman"/>
          <w:b/>
          <w:u w:val="single"/>
          <w:lang w:eastAsia="ko-KR"/>
        </w:rPr>
        <w:t>have stated below</w:t>
      </w:r>
      <w:r w:rsidRPr="00496D62">
        <w:rPr>
          <w:rFonts w:ascii="Calibri" w:eastAsia="Times New Roman" w:hAnsi="Calibri" w:cs="Times New Roman"/>
          <w:b/>
          <w:lang w:eastAsia="ko-KR"/>
        </w:rPr>
        <w:t xml:space="preserve"> </w:t>
      </w:r>
      <w:r w:rsidRPr="00496D62">
        <w:rPr>
          <w:rFonts w:ascii="Calibri" w:eastAsia="Times New Roman" w:hAnsi="Calibri" w:cs="Times New Roman"/>
          <w:lang w:eastAsia="ko-KR"/>
        </w:rPr>
        <w:t>my reasons and grounds under the Official Information Act that I believe apply, for consideration by MBIE.</w:t>
      </w:r>
    </w:p>
    <w:p w14:paraId="685041FD" w14:textId="3FB34464" w:rsidR="00496D62" w:rsidRDefault="00496D62" w:rsidP="00067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240" w:after="0" w:line="240" w:lineRule="auto"/>
        <w:rPr>
          <w:rFonts w:ascii="Calibri" w:eastAsia="Times New Roman" w:hAnsi="Calibri" w:cs="Times New Roman"/>
          <w:color w:val="00B0F0"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 xml:space="preserve">I would like my submission (or identified parts of my submission) to be kept confidential because </w:t>
      </w:r>
      <w:r w:rsidRPr="00496D62">
        <w:rPr>
          <w:rFonts w:ascii="Calibri" w:eastAsia="Times New Roman" w:hAnsi="Calibri" w:cs="Times New Roman"/>
          <w:color w:val="00B0F0"/>
          <w:lang w:eastAsia="ko-KR"/>
        </w:rPr>
        <w:t>[Insert text]</w:t>
      </w:r>
    </w:p>
    <w:p w14:paraId="69F9C2D6" w14:textId="77777777" w:rsidR="005A4C6B" w:rsidRPr="00496D62" w:rsidRDefault="005A4C6B" w:rsidP="00067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240" w:after="0" w:line="240" w:lineRule="auto"/>
        <w:rPr>
          <w:rFonts w:ascii="Calibri" w:eastAsia="Times New Roman" w:hAnsi="Calibri" w:cs="Times New Roman"/>
          <w:lang w:eastAsia="ko-KR"/>
        </w:rPr>
      </w:pPr>
    </w:p>
    <w:p w14:paraId="28672181" w14:textId="6D069997" w:rsidR="00427D75" w:rsidRPr="00496D62" w:rsidRDefault="00427D75" w:rsidP="00427D75">
      <w:pPr>
        <w:spacing w:before="240" w:after="0" w:line="240" w:lineRule="auto"/>
        <w:jc w:val="center"/>
        <w:rPr>
          <w:rFonts w:ascii="Calibri" w:eastAsia="Times New Roman" w:hAnsi="Calibri" w:cs="Times New Roman"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>[</w:t>
      </w:r>
      <w:r w:rsidR="0006784B">
        <w:rPr>
          <w:rFonts w:ascii="Calibri" w:eastAsia="Times New Roman" w:hAnsi="Calibri" w:cs="Times New Roman"/>
          <w:lang w:eastAsia="ko-KR"/>
        </w:rPr>
        <w:t xml:space="preserve">To check the boxes above: </w:t>
      </w:r>
      <w:r w:rsidRPr="00496D62">
        <w:rPr>
          <w:rFonts w:ascii="Calibri" w:eastAsia="Times New Roman" w:hAnsi="Calibri" w:cs="Times New Roman"/>
          <w:lang w:eastAsia="ko-KR"/>
        </w:rPr>
        <w:t>Double click on box, then select ‘checked’]</w:t>
      </w:r>
    </w:p>
    <w:p w14:paraId="28ED4813" w14:textId="77777777" w:rsidR="008950B5" w:rsidRDefault="008950B5" w:rsidP="00921AC2">
      <w:pPr>
        <w:rPr>
          <w:lang w:eastAsia="ko-KR"/>
        </w:rPr>
      </w:pPr>
      <w:r>
        <w:rPr>
          <w:lang w:eastAsia="ko-KR"/>
        </w:rPr>
        <w:br w:type="page"/>
      </w:r>
    </w:p>
    <w:p w14:paraId="383D2E5F" w14:textId="33DE78B7" w:rsidR="00AB3068" w:rsidRDefault="000F68F1" w:rsidP="005A4C6B">
      <w:pPr>
        <w:pStyle w:val="Heading1"/>
        <w:rPr>
          <w:rFonts w:eastAsia="Times New Roman"/>
          <w:color w:val="006272"/>
          <w:lang w:eastAsia="ko-KR"/>
        </w:rPr>
      </w:pPr>
      <w:r w:rsidRPr="005A4C6B">
        <w:rPr>
          <w:rFonts w:eastAsia="Times New Roman"/>
          <w:color w:val="006272"/>
          <w:lang w:eastAsia="ko-KR"/>
        </w:rPr>
        <w:t>Responses to questions</w:t>
      </w:r>
    </w:p>
    <w:p w14:paraId="78C9C1D8" w14:textId="6F1E729A" w:rsidR="00F2213E" w:rsidRDefault="00F2213E" w:rsidP="00F2213E">
      <w:pPr>
        <w:rPr>
          <w:lang w:eastAsia="ko-KR"/>
        </w:rPr>
      </w:pPr>
    </w:p>
    <w:tbl>
      <w:tblPr>
        <w:tblStyle w:val="TableGrid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737"/>
      </w:tblGrid>
      <w:tr w:rsidR="00F2213E" w14:paraId="372683A5" w14:textId="77777777" w:rsidTr="005D421A"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272"/>
          </w:tcPr>
          <w:p w14:paraId="6D10C370" w14:textId="2C50602A" w:rsidR="00F2213E" w:rsidRPr="00DA5CF2" w:rsidRDefault="004805E5" w:rsidP="00C122AC">
            <w:pPr>
              <w:pStyle w:val="Question"/>
              <w:rPr>
                <w:lang w:eastAsia="ko-KR"/>
              </w:rPr>
            </w:pPr>
            <w:r w:rsidRPr="00DA5CF2">
              <w:rPr>
                <w:rFonts w:ascii="Calibri" w:hAnsi="Calibri" w:cs="Arial"/>
                <w:color w:val="FFFFFF" w:themeColor="background1"/>
              </w:rPr>
              <w:t xml:space="preserve">Chapter </w:t>
            </w:r>
            <w:r w:rsidR="00406428">
              <w:rPr>
                <w:rFonts w:ascii="Calibri" w:hAnsi="Calibri" w:cs="Arial"/>
                <w:color w:val="FFFFFF" w:themeColor="background1"/>
              </w:rPr>
              <w:t>4</w:t>
            </w:r>
            <w:r w:rsidRPr="00DA5CF2">
              <w:rPr>
                <w:rFonts w:ascii="Calibri" w:hAnsi="Calibri" w:cs="Arial"/>
                <w:color w:val="FFFFFF" w:themeColor="background1"/>
              </w:rPr>
              <w:t xml:space="preserve">: </w:t>
            </w:r>
            <w:r w:rsidR="00406428">
              <w:rPr>
                <w:rFonts w:ascii="Calibri" w:hAnsi="Calibri" w:cs="Arial"/>
                <w:color w:val="FFFFFF" w:themeColor="background1"/>
              </w:rPr>
              <w:t>Further detail on feasibility permits</w:t>
            </w:r>
          </w:p>
        </w:tc>
      </w:tr>
      <w:tr w:rsidR="00F2213E" w14:paraId="10EF3265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5B951068" w14:textId="77777777" w:rsidR="00F2213E" w:rsidRPr="004805E5" w:rsidRDefault="00F2213E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00A339DB" w14:textId="35109A08" w:rsidR="00F2213E" w:rsidRPr="00BD7567" w:rsidRDefault="00406428" w:rsidP="005D421A">
            <w:pPr>
              <w:pStyle w:val="Question"/>
            </w:pPr>
            <w:r w:rsidRPr="00BD7567">
              <w:t>Following an initial feasibility permit application round, should there be both an open-door policy and the ability for government to run subsequent rounds?</w:t>
            </w:r>
            <w:r w:rsidR="00030205">
              <w:t xml:space="preserve"> If not, why not?</w:t>
            </w:r>
          </w:p>
        </w:tc>
      </w:tr>
      <w:tr w:rsidR="00F2213E" w14:paraId="02ECAD49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436D0A22" w14:textId="77777777" w:rsidR="00F2213E" w:rsidRPr="004805E5" w:rsidRDefault="00F2213E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492A9D98" w14:textId="77777777" w:rsidR="00F2213E" w:rsidRPr="00BD7567" w:rsidRDefault="00F2213E" w:rsidP="00BD7567">
            <w:pPr>
              <w:pStyle w:val="Question"/>
              <w:rPr>
                <w:b w:val="0"/>
              </w:rPr>
            </w:pPr>
          </w:p>
        </w:tc>
      </w:tr>
      <w:tr w:rsidR="001357F5" w14:paraId="787261F5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534591E8" w14:textId="77777777" w:rsidR="001357F5" w:rsidRPr="004805E5" w:rsidRDefault="001357F5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2EFB4427" w14:textId="3FA0F867" w:rsidR="001357F5" w:rsidRPr="00BD7567" w:rsidRDefault="001357F5" w:rsidP="005D421A">
            <w:pPr>
              <w:pStyle w:val="Question"/>
            </w:pPr>
            <w:r w:rsidRPr="00BD7567">
              <w:t>What size of offshore renewable energy projects do you think are appropriate for a New Zealand</w:t>
            </w:r>
            <w:r w:rsidR="00DA7511">
              <w:t xml:space="preserve"> context</w:t>
            </w:r>
            <w:r>
              <w:t>?</w:t>
            </w:r>
            <w:r w:rsidR="00030205">
              <w:t xml:space="preserve"> </w:t>
            </w:r>
          </w:p>
        </w:tc>
      </w:tr>
      <w:tr w:rsidR="001357F5" w14:paraId="63597B03" w14:textId="77777777" w:rsidTr="001357F5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453ECD27" w14:textId="77777777" w:rsidR="001357F5" w:rsidRPr="001357F5" w:rsidRDefault="001357F5" w:rsidP="001357F5">
            <w:p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auto"/>
          </w:tcPr>
          <w:p w14:paraId="155119DA" w14:textId="77777777" w:rsidR="001357F5" w:rsidRPr="00BD7567" w:rsidRDefault="001357F5" w:rsidP="005D421A">
            <w:pPr>
              <w:pStyle w:val="Question"/>
            </w:pPr>
          </w:p>
        </w:tc>
      </w:tr>
      <w:tr w:rsidR="00F2213E" w14:paraId="35D6D59E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4CC06D8F" w14:textId="77777777" w:rsidR="00F2213E" w:rsidRPr="004805E5" w:rsidRDefault="00F2213E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0D37EEF5" w14:textId="2868C80E" w:rsidR="00F2213E" w:rsidRPr="00BD7567" w:rsidRDefault="001357F5" w:rsidP="005D421A">
            <w:pPr>
              <w:pStyle w:val="Question"/>
            </w:pPr>
            <w:r>
              <w:t>D</w:t>
            </w:r>
            <w:r w:rsidR="00FF01A8" w:rsidRPr="00BD7567">
              <w:t xml:space="preserve">o you think the maximum </w:t>
            </w:r>
            <w:r w:rsidR="002C4EFE">
              <w:t xml:space="preserve">area </w:t>
            </w:r>
            <w:r w:rsidR="00FF01A8" w:rsidRPr="00BD7567">
              <w:t>of a project</w:t>
            </w:r>
            <w:r w:rsidR="00030205">
              <w:t xml:space="preserve"> should be put forward by developers and set out in guidance material, rather than prescribed in legislation</w:t>
            </w:r>
            <w:r w:rsidR="00FF01A8" w:rsidRPr="00BD7567">
              <w:t>?</w:t>
            </w:r>
            <w:r w:rsidR="00030205">
              <w:t xml:space="preserve"> If not, why not?</w:t>
            </w:r>
          </w:p>
        </w:tc>
      </w:tr>
      <w:tr w:rsidR="00F2213E" w14:paraId="2DE7489A" w14:textId="77777777" w:rsidTr="00BD7567">
        <w:trPr>
          <w:trHeight w:val="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0DCDD31C" w14:textId="77777777" w:rsidR="00F2213E" w:rsidRPr="004805E5" w:rsidRDefault="00F2213E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2C28A24E" w14:textId="77777777" w:rsidR="00F2213E" w:rsidRPr="00BD7567" w:rsidRDefault="00F2213E" w:rsidP="00F2213E">
            <w:pPr>
              <w:rPr>
                <w:b/>
                <w:bCs/>
              </w:rPr>
            </w:pPr>
          </w:p>
        </w:tc>
      </w:tr>
      <w:tr w:rsidR="00F2213E" w14:paraId="4CF5AA8D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</w:tcPr>
          <w:p w14:paraId="144C5CF6" w14:textId="77777777" w:rsidR="00F2213E" w:rsidRDefault="00F2213E" w:rsidP="00F2213E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50970708" w14:textId="77777777" w:rsidR="00F2213E" w:rsidRPr="00BD7567" w:rsidRDefault="00F2213E" w:rsidP="00F2213E">
            <w:pPr>
              <w:rPr>
                <w:b/>
              </w:rPr>
            </w:pPr>
          </w:p>
        </w:tc>
      </w:tr>
      <w:tr w:rsidR="004805E5" w14:paraId="12C68DF2" w14:textId="77777777" w:rsidTr="005D421A">
        <w:tc>
          <w:tcPr>
            <w:tcW w:w="9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272"/>
          </w:tcPr>
          <w:p w14:paraId="04783644" w14:textId="230BD24D" w:rsidR="004805E5" w:rsidRPr="00DA5CF2" w:rsidRDefault="002477B5" w:rsidP="00C122AC">
            <w:pPr>
              <w:pStyle w:val="Question"/>
              <w:rPr>
                <w:lang w:eastAsia="ko-KR"/>
              </w:rPr>
            </w:pPr>
            <w:r w:rsidRPr="00DA5CF2">
              <w:rPr>
                <w:rFonts w:ascii="Calibri" w:hAnsi="Calibri" w:cs="Arial"/>
                <w:color w:val="FFFFFF" w:themeColor="background1"/>
              </w:rPr>
              <w:t xml:space="preserve">Chapter </w:t>
            </w:r>
            <w:r w:rsidR="00FF01A8">
              <w:rPr>
                <w:rFonts w:ascii="Calibri" w:hAnsi="Calibri" w:cs="Arial"/>
                <w:color w:val="FFFFFF" w:themeColor="background1"/>
              </w:rPr>
              <w:t>5</w:t>
            </w:r>
            <w:r w:rsidRPr="00DA5CF2">
              <w:rPr>
                <w:rFonts w:ascii="Calibri" w:hAnsi="Calibri" w:cs="Arial"/>
                <w:color w:val="FFFFFF" w:themeColor="background1"/>
              </w:rPr>
              <w:t xml:space="preserve">: </w:t>
            </w:r>
            <w:r w:rsidR="00FF01A8">
              <w:rPr>
                <w:rFonts w:ascii="Calibri" w:hAnsi="Calibri" w:cs="Arial"/>
                <w:color w:val="FFFFFF" w:themeColor="background1"/>
              </w:rPr>
              <w:t>Commercial permits</w:t>
            </w:r>
          </w:p>
        </w:tc>
      </w:tr>
    </w:tbl>
    <w:tbl>
      <w:tblPr>
        <w:tblStyle w:val="TableGrid2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737"/>
      </w:tblGrid>
      <w:tr w:rsidR="004805E5" w14:paraId="1001FD49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2BB83DD9" w14:textId="77777777" w:rsidR="004805E5" w:rsidRPr="00C122AC" w:rsidRDefault="004805E5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56297889" w14:textId="40198C89" w:rsidR="004805E5" w:rsidRPr="005D421A" w:rsidRDefault="00713F3A" w:rsidP="005D421A">
            <w:pPr>
              <w:pStyle w:val="Question"/>
            </w:pPr>
            <w:r w:rsidRPr="008A37D7">
              <w:t>Should there be a mechanism for government to be able to compare projects at the commercial stage in certain circumstances? If yes, would the approach outlined in Option 2 be appropriate or would there be other ways to achieve this same effect?</w:t>
            </w:r>
          </w:p>
        </w:tc>
      </w:tr>
      <w:tr w:rsidR="004805E5" w14:paraId="5E685595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375E8102" w14:textId="77777777" w:rsidR="004805E5" w:rsidRPr="00C122AC" w:rsidRDefault="004805E5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3F87F900" w14:textId="77777777" w:rsidR="004805E5" w:rsidRPr="00BD7567" w:rsidRDefault="004805E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4805E5" w14:paraId="63D7F00C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63A81423" w14:textId="77777777" w:rsidR="004805E5" w:rsidRPr="00C122AC" w:rsidRDefault="004805E5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421968D8" w14:textId="013D9022" w:rsidR="004805E5" w:rsidRPr="005D421A" w:rsidRDefault="00713F3A" w:rsidP="005D421A">
            <w:pPr>
              <w:pStyle w:val="Question"/>
            </w:pPr>
            <w:r w:rsidRPr="008A37D7">
              <w:t>Are the proposed criteria appropriate and complete? If not, what are we missing?</w:t>
            </w:r>
          </w:p>
        </w:tc>
      </w:tr>
      <w:tr w:rsidR="004805E5" w14:paraId="330FF925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6E20E46F" w14:textId="77777777" w:rsidR="004805E5" w:rsidRPr="00C122AC" w:rsidRDefault="004805E5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7EE85BA0" w14:textId="4879993B" w:rsidR="004805E5" w:rsidRPr="00BD7567" w:rsidRDefault="004805E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4805E5" w14:paraId="22E5C856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06D5C933" w14:textId="77777777" w:rsidR="004805E5" w:rsidRPr="00C122AC" w:rsidRDefault="004805E5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52946B50" w14:textId="6E1F9C0B" w:rsidR="004805E5" w:rsidRPr="005D421A" w:rsidRDefault="00713F3A" w:rsidP="005D421A">
            <w:pPr>
              <w:pStyle w:val="Question"/>
            </w:pPr>
            <w:r w:rsidRPr="008A37D7">
              <w:t>Should there be mechanisms to ensure developers deliver on the commitments of their application over the life of the project?</w:t>
            </w:r>
            <w:r w:rsidR="00030205">
              <w:t xml:space="preserve"> If yes, what should these mechanisms be?</w:t>
            </w:r>
          </w:p>
        </w:tc>
      </w:tr>
      <w:tr w:rsidR="004805E5" w14:paraId="678052FE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644350C6" w14:textId="77777777" w:rsidR="004805E5" w:rsidRPr="00C122AC" w:rsidRDefault="004805E5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057EAB5A" w14:textId="77777777" w:rsidR="004805E5" w:rsidRPr="00BD7567" w:rsidRDefault="004805E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4805E5" w14:paraId="130121CE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40FCB610" w14:textId="77777777" w:rsidR="004805E5" w:rsidRPr="00C122AC" w:rsidRDefault="004805E5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39E14AD8" w14:textId="02DF5CED" w:rsidR="004805E5" w:rsidRPr="002477B5" w:rsidRDefault="00713F3A" w:rsidP="005D421A">
            <w:pPr>
              <w:pStyle w:val="Question"/>
            </w:pPr>
            <w:r w:rsidRPr="008A37D7">
              <w:t>Is 40 years an appropriate maximum commercial permit duration?</w:t>
            </w:r>
            <w:r w:rsidR="00295BBD">
              <w:t xml:space="preserve"> </w:t>
            </w:r>
            <w:bookmarkStart w:id="1" w:name="_Hlk139625290"/>
            <w:r w:rsidR="00295BBD">
              <w:t>If not, what would be an appropriate duration?</w:t>
            </w:r>
            <w:bookmarkEnd w:id="1"/>
          </w:p>
        </w:tc>
      </w:tr>
      <w:tr w:rsidR="004805E5" w14:paraId="3EACCB6C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2D7A8D71" w14:textId="77777777" w:rsidR="004805E5" w:rsidRPr="00C122AC" w:rsidRDefault="004805E5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5190E4F7" w14:textId="77777777" w:rsidR="004805E5" w:rsidRPr="00BD7567" w:rsidRDefault="004805E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4805E5" w14:paraId="1F74D969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0604B319" w14:textId="77777777" w:rsidR="004805E5" w:rsidRPr="00C122AC" w:rsidRDefault="004805E5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7D5776C8" w14:textId="1AD956F2" w:rsidR="004805E5" w:rsidRPr="002477B5" w:rsidRDefault="00713F3A" w:rsidP="005D421A">
            <w:pPr>
              <w:pStyle w:val="Question"/>
            </w:pPr>
            <w:r w:rsidRPr="008A37D7">
              <w:t>Should a developer that wishes to geographically extend their development be required to lodge new feasibility permit and commercial permit applications?</w:t>
            </w:r>
            <w:r w:rsidR="00295BBD">
              <w:t xml:space="preserve"> Why or why not?</w:t>
            </w:r>
          </w:p>
        </w:tc>
      </w:tr>
      <w:tr w:rsidR="004805E5" w14:paraId="010E5EB0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</w:tcPr>
          <w:p w14:paraId="60C54345" w14:textId="77777777" w:rsidR="004805E5" w:rsidRPr="00C122AC" w:rsidRDefault="004805E5" w:rsidP="002C1D4E">
            <w:p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0AB29BC4" w14:textId="77777777" w:rsidR="004805E5" w:rsidRPr="00BD7567" w:rsidRDefault="004805E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2477B5" w14:paraId="24265E95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</w:tcPr>
          <w:p w14:paraId="3195E01B" w14:textId="77777777" w:rsidR="002477B5" w:rsidRPr="00C122AC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5DC33072" w14:textId="0210FC99" w:rsidR="002477B5" w:rsidRPr="002477B5" w:rsidRDefault="00713F3A" w:rsidP="005D421A">
            <w:pPr>
              <w:pStyle w:val="Question"/>
            </w:pPr>
            <w:r w:rsidRPr="008A37D7">
              <w:t>Would the structure of the feasibility and commercial permit process as described enable research and development and demonstration projects to go ahead? If not, why not?</w:t>
            </w:r>
          </w:p>
        </w:tc>
      </w:tr>
      <w:tr w:rsidR="002477B5" w14:paraId="366B9D1A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</w:tcPr>
          <w:p w14:paraId="763C0E0B" w14:textId="77777777" w:rsidR="002477B5" w:rsidRPr="00C122AC" w:rsidRDefault="002477B5" w:rsidP="002C1D4E">
            <w:p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78F3A771" w14:textId="77777777" w:rsidR="002477B5" w:rsidRPr="00BD7567" w:rsidRDefault="002477B5" w:rsidP="00BD7567">
            <w:pPr>
              <w:pStyle w:val="Question"/>
              <w:rPr>
                <w:b w:val="0"/>
                <w:bCs/>
              </w:rPr>
            </w:pPr>
          </w:p>
        </w:tc>
      </w:tr>
    </w:tbl>
    <w:tbl>
      <w:tblPr>
        <w:tblStyle w:val="TableGrid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8"/>
      </w:tblGrid>
      <w:tr w:rsidR="002477B5" w14:paraId="4A506387" w14:textId="77777777" w:rsidTr="005D421A">
        <w:tc>
          <w:tcPr>
            <w:tcW w:w="9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6272"/>
          </w:tcPr>
          <w:p w14:paraId="41B4A5FB" w14:textId="61A6154B" w:rsidR="002477B5" w:rsidRPr="00DA5CF2" w:rsidRDefault="002477B5" w:rsidP="00C122AC">
            <w:pPr>
              <w:pStyle w:val="Question"/>
              <w:rPr>
                <w:lang w:eastAsia="ko-KR"/>
              </w:rPr>
            </w:pPr>
            <w:r w:rsidRPr="00DA5CF2">
              <w:rPr>
                <w:rFonts w:ascii="Calibri" w:hAnsi="Calibri" w:cs="Arial"/>
                <w:color w:val="FFFFFF" w:themeColor="background1"/>
              </w:rPr>
              <w:t xml:space="preserve">Chapter </w:t>
            </w:r>
            <w:r w:rsidR="007B7B57">
              <w:rPr>
                <w:rFonts w:ascii="Calibri" w:hAnsi="Calibri" w:cs="Arial"/>
                <w:color w:val="FFFFFF" w:themeColor="background1"/>
              </w:rPr>
              <w:t>6</w:t>
            </w:r>
            <w:r w:rsidRPr="00DA5CF2">
              <w:rPr>
                <w:rFonts w:ascii="Calibri" w:hAnsi="Calibri" w:cs="Arial"/>
                <w:color w:val="FFFFFF" w:themeColor="background1"/>
              </w:rPr>
              <w:t xml:space="preserve">: </w:t>
            </w:r>
            <w:r w:rsidR="007B7B57">
              <w:rPr>
                <w:rFonts w:ascii="Calibri" w:hAnsi="Calibri" w:cs="Arial"/>
                <w:color w:val="FFFFFF" w:themeColor="background1"/>
              </w:rPr>
              <w:t>Economics of the regime</w:t>
            </w:r>
          </w:p>
        </w:tc>
      </w:tr>
    </w:tbl>
    <w:tbl>
      <w:tblPr>
        <w:tblStyle w:val="TableGrid2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737"/>
      </w:tblGrid>
      <w:tr w:rsidR="002477B5" w14:paraId="5A13278D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0907079D" w14:textId="77777777" w:rsidR="002477B5" w:rsidRPr="004805E5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6DBBD624" w14:textId="6D9CFDA7" w:rsidR="002477B5" w:rsidRDefault="007B7B57" w:rsidP="005D421A">
            <w:pPr>
              <w:pStyle w:val="Question"/>
            </w:pPr>
            <w:r w:rsidRPr="008A37D7">
              <w:t>Is there an interdependency between the case for revenue support mechanisms and the decision as to whether to gather revenue from the regime? What is the nature of this interdependency?</w:t>
            </w:r>
          </w:p>
        </w:tc>
      </w:tr>
      <w:tr w:rsidR="002477B5" w14:paraId="3C730791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2BE12B75" w14:textId="77777777" w:rsidR="002477B5" w:rsidRPr="004805E5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784CFC2B" w14:textId="77777777" w:rsidR="002477B5" w:rsidRPr="00BD7567" w:rsidRDefault="002477B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2477B5" w14:paraId="0EA92CFA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23F60897" w14:textId="77777777" w:rsidR="002477B5" w:rsidRPr="004805E5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30B44433" w14:textId="1E5FD8CE" w:rsidR="002477B5" w:rsidRDefault="002C4EFE" w:rsidP="005D421A">
            <w:pPr>
              <w:pStyle w:val="Question"/>
            </w:pPr>
            <w:r w:rsidRPr="006C3F07">
              <w:t>Is there a risk in offering support mechanism</w:t>
            </w:r>
            <w:r w:rsidR="00295BBD">
              <w:t>s</w:t>
            </w:r>
            <w:r w:rsidRPr="006C3F07">
              <w:t xml:space="preserve"> for offshore renewables without offering equivalent support to onshore renewables? </w:t>
            </w:r>
            <w:r w:rsidR="00295BBD">
              <w:t>A</w:t>
            </w:r>
            <w:r w:rsidRPr="006C3F07">
              <w:t>re there any characteristics of offshore renewables which mean they require support that onshore renewables do not?</w:t>
            </w:r>
          </w:p>
        </w:tc>
      </w:tr>
      <w:tr w:rsidR="002477B5" w14:paraId="4CD818D6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0B2F1B23" w14:textId="77777777" w:rsidR="002477B5" w:rsidRPr="004805E5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2930B68D" w14:textId="77777777" w:rsidR="002477B5" w:rsidRPr="00BD7567" w:rsidRDefault="002477B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2477B5" w14:paraId="0845484F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193DACE0" w14:textId="77777777" w:rsidR="002477B5" w:rsidRPr="004805E5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6E1DCCC3" w14:textId="4FC3DE98" w:rsidR="002477B5" w:rsidRDefault="007B7B57" w:rsidP="005D421A">
            <w:pPr>
              <w:pStyle w:val="Question"/>
            </w:pPr>
            <w:r w:rsidRPr="008A37D7">
              <w:t>Should there be a revenue flow back to government</w:t>
            </w:r>
            <w:r w:rsidR="00295BBD">
              <w:t>?</w:t>
            </w:r>
            <w:r w:rsidRPr="008A37D7">
              <w:t xml:space="preserve"> </w:t>
            </w:r>
            <w:r w:rsidR="004A522E">
              <w:t>And i</w:t>
            </w:r>
            <w:r w:rsidRPr="008A37D7">
              <w:t xml:space="preserve">f yes, do you have views on how this should be structured? For comments on potential flows to iwi and hapū please refer to </w:t>
            </w:r>
            <w:r w:rsidR="002C4EFE">
              <w:t>Questions 14 and 15</w:t>
            </w:r>
            <w:r w:rsidRPr="008A37D7">
              <w:t>.</w:t>
            </w:r>
          </w:p>
        </w:tc>
      </w:tr>
      <w:tr w:rsidR="002477B5" w14:paraId="03A2A43D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64F3AEBA" w14:textId="77777777" w:rsidR="002477B5" w:rsidRPr="004805E5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7382FFF7" w14:textId="77777777" w:rsidR="002477B5" w:rsidRPr="00BD7567" w:rsidRDefault="002477B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2477B5" w14:paraId="3D4D58DC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1183753B" w14:textId="77777777" w:rsidR="002477B5" w:rsidRPr="004805E5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7B350D54" w14:textId="26B4CE88" w:rsidR="002477B5" w:rsidRDefault="006A2D23" w:rsidP="005D421A">
            <w:pPr>
              <w:pStyle w:val="Question"/>
            </w:pPr>
            <w:r w:rsidRPr="008A37D7">
              <w:t>Do you agree with the proposed approach to cost recovery? If not, why not?</w:t>
            </w:r>
          </w:p>
        </w:tc>
      </w:tr>
      <w:tr w:rsidR="002477B5" w14:paraId="44442CD2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5B56C7D0" w14:textId="77777777" w:rsidR="002477B5" w:rsidRPr="004805E5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2B3C52E0" w14:textId="77777777" w:rsidR="002477B5" w:rsidRPr="00BD7567" w:rsidRDefault="002477B5" w:rsidP="00BD7567">
            <w:pPr>
              <w:pStyle w:val="Question"/>
              <w:rPr>
                <w:b w:val="0"/>
                <w:bCs/>
              </w:rPr>
            </w:pPr>
          </w:p>
        </w:tc>
      </w:tr>
    </w:tbl>
    <w:tbl>
      <w:tblPr>
        <w:tblStyle w:val="TableGrid3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737"/>
      </w:tblGrid>
      <w:tr w:rsidR="002477B5" w14:paraId="4B869E87" w14:textId="77777777" w:rsidTr="005D421A">
        <w:tc>
          <w:tcPr>
            <w:tcW w:w="9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272"/>
            <w:vAlign w:val="center"/>
          </w:tcPr>
          <w:p w14:paraId="050C7F91" w14:textId="45E9D370" w:rsidR="002477B5" w:rsidRPr="00746D26" w:rsidRDefault="00D24586" w:rsidP="00C122AC">
            <w:pPr>
              <w:pStyle w:val="Question"/>
              <w:rPr>
                <w:b w:val="0"/>
                <w:sz w:val="20"/>
                <w:szCs w:val="20"/>
              </w:rPr>
            </w:pPr>
            <w:r w:rsidRPr="00C122AC">
              <w:rPr>
                <w:rFonts w:ascii="Calibri" w:hAnsi="Calibri" w:cs="Arial"/>
                <w:bCs/>
                <w:color w:val="FFFFFF" w:themeColor="background1"/>
              </w:rPr>
              <w:t xml:space="preserve">Chapter </w:t>
            </w:r>
            <w:r w:rsidR="006A2D23">
              <w:rPr>
                <w:rFonts w:ascii="Calibri" w:hAnsi="Calibri" w:cs="Arial"/>
                <w:bCs/>
                <w:color w:val="FFFFFF" w:themeColor="background1"/>
              </w:rPr>
              <w:t>7</w:t>
            </w:r>
            <w:r w:rsidRPr="00C122AC">
              <w:rPr>
                <w:rFonts w:ascii="Calibri" w:hAnsi="Calibri" w:cs="Arial"/>
                <w:bCs/>
                <w:color w:val="FFFFFF" w:themeColor="background1"/>
              </w:rPr>
              <w:t xml:space="preserve">: </w:t>
            </w:r>
            <w:r w:rsidR="006A2D23">
              <w:rPr>
                <w:rFonts w:ascii="Calibri" w:hAnsi="Calibri" w:cs="Arial"/>
                <w:bCs/>
                <w:color w:val="FFFFFF" w:themeColor="background1"/>
              </w:rPr>
              <w:t xml:space="preserve">Māori Rights and Interests and Enabling Iwi and Hapū involvement </w:t>
            </w:r>
          </w:p>
        </w:tc>
      </w:tr>
      <w:tr w:rsidR="002477B5" w14:paraId="0B5D3196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4E0688E5" w14:textId="77777777" w:rsidR="002477B5" w:rsidRPr="004805E5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6BBEA217" w14:textId="5B19783C" w:rsidR="002477B5" w:rsidRDefault="00BD7567" w:rsidP="00BD7567">
            <w:pPr>
              <w:pStyle w:val="Question"/>
            </w:pPr>
            <w:r w:rsidRPr="00AF0CE8">
              <w:t xml:space="preserve">Is there anything you would like us to consider as we engage with iwi and hapū on Māori involvement in the permitting regime? </w:t>
            </w:r>
          </w:p>
        </w:tc>
      </w:tr>
      <w:tr w:rsidR="002477B5" w14:paraId="0BA2134B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11440A42" w14:textId="77777777" w:rsidR="002477B5" w:rsidRPr="004805E5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7A4A3361" w14:textId="77777777" w:rsidR="002477B5" w:rsidRPr="00BD7567" w:rsidRDefault="002477B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BD7567" w14:paraId="4EEBB253" w14:textId="77777777" w:rsidTr="00BD7567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23A39119" w14:textId="77777777" w:rsidR="00BD7567" w:rsidRPr="004805E5" w:rsidRDefault="00BD7567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550228FF" w14:textId="7C13DF51" w:rsidR="00BD7567" w:rsidRDefault="00BD7567" w:rsidP="00BD7567">
            <w:pPr>
              <w:pStyle w:val="Question"/>
            </w:pPr>
            <w:r w:rsidRPr="00AF0CE8">
              <w:t>Have we identified the key design opportunities to work collaboratively with iwi and hapū alongside consultation</w:t>
            </w:r>
            <w:r w:rsidR="004A2037">
              <w:t>?</w:t>
            </w:r>
            <w:r w:rsidRPr="00AF0CE8">
              <w:t xml:space="preserve"> Is there anything </w:t>
            </w:r>
            <w:r w:rsidR="00C55123">
              <w:t xml:space="preserve">we have </w:t>
            </w:r>
            <w:r w:rsidRPr="00AF0CE8">
              <w:t>missed?</w:t>
            </w:r>
          </w:p>
        </w:tc>
      </w:tr>
      <w:tr w:rsidR="00BD7567" w14:paraId="2030C08C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464C9BF0" w14:textId="77777777" w:rsidR="00BD7567" w:rsidRPr="004805E5" w:rsidRDefault="00BD7567" w:rsidP="00BD7567">
            <w:pPr>
              <w:pStyle w:val="ListParagraph"/>
              <w:ind w:left="360"/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04071EAF" w14:textId="77777777" w:rsidR="00BD7567" w:rsidRPr="00BD7567" w:rsidRDefault="00BD7567" w:rsidP="00BD7567">
            <w:pPr>
              <w:pStyle w:val="Question"/>
              <w:rPr>
                <w:b w:val="0"/>
                <w:bCs/>
              </w:rPr>
            </w:pPr>
          </w:p>
        </w:tc>
      </w:tr>
      <w:tr w:rsidR="00BD7567" w14:paraId="6ABB3618" w14:textId="77777777" w:rsidTr="00BD7567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7D1920C4" w14:textId="77777777" w:rsidR="00BD7567" w:rsidRPr="004805E5" w:rsidRDefault="00BD7567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480B0B3E" w14:textId="080BFCE8" w:rsidR="00BD7567" w:rsidRDefault="00BD7567" w:rsidP="00BD7567">
            <w:pPr>
              <w:pStyle w:val="Question"/>
            </w:pPr>
            <w:r w:rsidRPr="00AF0CE8">
              <w:t>Are there any Māori groups we should engage with (who may not have already engaged)?</w:t>
            </w:r>
          </w:p>
        </w:tc>
      </w:tr>
      <w:tr w:rsidR="00BD7567" w14:paraId="74A754B6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59A2E71B" w14:textId="77777777" w:rsidR="00BD7567" w:rsidRPr="004805E5" w:rsidRDefault="00BD7567" w:rsidP="00BD7567">
            <w:pPr>
              <w:pStyle w:val="ListParagraph"/>
              <w:ind w:left="360"/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5988EADF" w14:textId="77777777" w:rsidR="00BD7567" w:rsidRPr="00BD7567" w:rsidRDefault="00BD7567" w:rsidP="00BD7567">
            <w:pPr>
              <w:pStyle w:val="Question"/>
              <w:rPr>
                <w:b w:val="0"/>
                <w:bCs/>
              </w:rPr>
            </w:pPr>
          </w:p>
        </w:tc>
      </w:tr>
    </w:tbl>
    <w:tbl>
      <w:tblPr>
        <w:tblStyle w:val="TableGrid21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737"/>
      </w:tblGrid>
      <w:tr w:rsidR="00D24586" w14:paraId="241AD061" w14:textId="77777777" w:rsidTr="005D421A">
        <w:tc>
          <w:tcPr>
            <w:tcW w:w="9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272"/>
          </w:tcPr>
          <w:p w14:paraId="71C816AD" w14:textId="4AFF8630" w:rsidR="00D24586" w:rsidRPr="00DA5CF2" w:rsidRDefault="00D24586" w:rsidP="00C122AC">
            <w:pPr>
              <w:pStyle w:val="Question"/>
              <w:rPr>
                <w:rFonts w:ascii="Calibri" w:hAnsi="Calibri" w:cs="Arial"/>
                <w:color w:val="000000"/>
              </w:rPr>
            </w:pPr>
            <w:r w:rsidRPr="00DA5CF2">
              <w:rPr>
                <w:rFonts w:ascii="Calibri" w:hAnsi="Calibri" w:cs="Arial"/>
                <w:color w:val="FFFFFF" w:themeColor="background1"/>
              </w:rPr>
              <w:t xml:space="preserve">Chapter </w:t>
            </w:r>
            <w:r w:rsidR="00C478BE">
              <w:rPr>
                <w:rFonts w:ascii="Calibri" w:hAnsi="Calibri" w:cs="Arial"/>
                <w:color w:val="FFFFFF" w:themeColor="background1"/>
              </w:rPr>
              <w:t>8</w:t>
            </w:r>
            <w:r w:rsidRPr="00DA5CF2">
              <w:rPr>
                <w:rFonts w:ascii="Calibri" w:hAnsi="Calibri" w:cs="Arial"/>
                <w:color w:val="FFFFFF" w:themeColor="background1"/>
              </w:rPr>
              <w:t xml:space="preserve">: </w:t>
            </w:r>
            <w:r w:rsidR="00C478BE">
              <w:rPr>
                <w:rFonts w:ascii="Calibri" w:hAnsi="Calibri" w:cs="Arial"/>
                <w:color w:val="FFFFFF" w:themeColor="background1"/>
              </w:rPr>
              <w:t>Interaction with the environmental consenting processes</w:t>
            </w:r>
          </w:p>
        </w:tc>
      </w:tr>
      <w:tr w:rsidR="00D24586" w14:paraId="45E9BD34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70EEC037" w14:textId="77777777" w:rsidR="00D24586" w:rsidRDefault="00D24586" w:rsidP="00DF73E8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1250EEE7" w14:textId="7458496E" w:rsidR="00D24586" w:rsidRDefault="00295BBD" w:rsidP="005D421A">
            <w:pPr>
              <w:pStyle w:val="Question"/>
              <w:rPr>
                <w:lang w:eastAsia="ko-KR"/>
              </w:rPr>
            </w:pPr>
            <w:r>
              <w:t>For each individual development, s</w:t>
            </w:r>
            <w:r w:rsidR="00C478BE" w:rsidRPr="008A37D7">
              <w:t>hould a single consent authority be responsible for environmental consents under the R</w:t>
            </w:r>
            <w:r w:rsidR="004A28CC">
              <w:t xml:space="preserve">esource Management Act 1991 </w:t>
            </w:r>
            <w:r w:rsidR="00C478BE" w:rsidRPr="008A37D7">
              <w:t xml:space="preserve">and the </w:t>
            </w:r>
            <w:r w:rsidR="004A28CC">
              <w:t>and Exclusive Economic Zone and Continental Shelf (Environmental Effects) Act 2012</w:t>
            </w:r>
            <w:r w:rsidR="00C478BE" w:rsidRPr="008A37D7">
              <w:t>?</w:t>
            </w:r>
            <w:r w:rsidR="004A28CC">
              <w:t xml:space="preserve"> Why or why not?</w:t>
            </w:r>
          </w:p>
        </w:tc>
      </w:tr>
      <w:tr w:rsidR="00D24586" w:rsidRPr="00BD7567" w14:paraId="2B396D00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</w:tcPr>
          <w:p w14:paraId="330C50F4" w14:textId="77777777" w:rsidR="00D24586" w:rsidRDefault="00D24586" w:rsidP="002C1D4E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7A8A6B0B" w14:textId="77777777" w:rsidR="00D24586" w:rsidRPr="00BD7567" w:rsidRDefault="00D24586" w:rsidP="00BD7567">
            <w:pPr>
              <w:pStyle w:val="Question"/>
              <w:rPr>
                <w:b w:val="0"/>
                <w:bCs/>
              </w:rPr>
            </w:pPr>
          </w:p>
        </w:tc>
      </w:tr>
    </w:tbl>
    <w:tbl>
      <w:tblPr>
        <w:tblStyle w:val="TableGrid211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737"/>
      </w:tblGrid>
      <w:tr w:rsidR="00D24586" w14:paraId="4F53071C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442B9695" w14:textId="77777777" w:rsidR="00D24586" w:rsidRPr="004805E5" w:rsidRDefault="00D24586" w:rsidP="00D24586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573CB75B" w14:textId="28365F22" w:rsidR="00D24586" w:rsidRDefault="00C478BE" w:rsidP="005D421A">
            <w:pPr>
              <w:pStyle w:val="Question"/>
              <w:rPr>
                <w:lang w:eastAsia="ko-KR"/>
              </w:rPr>
            </w:pPr>
            <w:r w:rsidRPr="008A37D7">
              <w:t>Do environmental consenting processes adequately consider environmental effects such that it is not necessary to duplicate an assessment of environmental effects in the offshore renewables permitting regime?</w:t>
            </w:r>
          </w:p>
        </w:tc>
      </w:tr>
      <w:tr w:rsidR="00D24586" w14:paraId="6C8D5C40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3F4489F9" w14:textId="77777777" w:rsidR="00D24586" w:rsidRPr="004805E5" w:rsidRDefault="00D24586" w:rsidP="00D24586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436DF644" w14:textId="77777777" w:rsidR="00D24586" w:rsidRPr="00BD7567" w:rsidRDefault="00D24586" w:rsidP="00BD7567">
            <w:pPr>
              <w:pStyle w:val="Question"/>
              <w:rPr>
                <w:b w:val="0"/>
                <w:bCs/>
              </w:rPr>
            </w:pPr>
          </w:p>
        </w:tc>
      </w:tr>
      <w:tr w:rsidR="00D24586" w14:paraId="00503CCF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06190362" w14:textId="77777777" w:rsidR="00D24586" w:rsidRPr="004805E5" w:rsidRDefault="00D24586" w:rsidP="00D24586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08A36B18" w14:textId="0FFE6A81" w:rsidR="00D24586" w:rsidRDefault="00C478BE" w:rsidP="005D421A">
            <w:pPr>
              <w:pStyle w:val="Question"/>
              <w:rPr>
                <w:lang w:eastAsia="ko-KR"/>
              </w:rPr>
            </w:pPr>
            <w:r w:rsidRPr="00C478BE">
              <w:t>Should the offshore permitting regime assess the capability of a developer to obtain the necessary environmental consents?</w:t>
            </w:r>
            <w:r w:rsidR="00295BBD">
              <w:t xml:space="preserve"> If not, why not?</w:t>
            </w:r>
          </w:p>
        </w:tc>
      </w:tr>
      <w:tr w:rsidR="00D24586" w14:paraId="72C0D19C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21397072" w14:textId="77777777" w:rsidR="00D24586" w:rsidRPr="004805E5" w:rsidRDefault="00D24586" w:rsidP="00D24586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339B9571" w14:textId="77777777" w:rsidR="00D24586" w:rsidRPr="00BD7567" w:rsidRDefault="00D24586" w:rsidP="00BD7567">
            <w:pPr>
              <w:pStyle w:val="Question"/>
              <w:rPr>
                <w:b w:val="0"/>
                <w:bCs/>
              </w:rPr>
            </w:pPr>
          </w:p>
        </w:tc>
      </w:tr>
      <w:tr w:rsidR="00D24586" w:rsidRPr="002477B5" w14:paraId="15082B1A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6A364B66" w14:textId="77777777" w:rsidR="00D24586" w:rsidRPr="004805E5" w:rsidRDefault="00D24586" w:rsidP="00D24586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3FF78077" w14:textId="1BAB76E3" w:rsidR="00D24586" w:rsidRPr="002477B5" w:rsidRDefault="00C478BE" w:rsidP="005D421A">
            <w:pPr>
              <w:pStyle w:val="Question"/>
            </w:pPr>
            <w:r w:rsidRPr="008A37D7">
              <w:t>What is the optimum sequencing between obtaining feasibility permits, commercial permits and relevant environmental consent(s)?</w:t>
            </w:r>
          </w:p>
        </w:tc>
      </w:tr>
      <w:tr w:rsidR="00D24586" w14:paraId="19259C35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756A3E10" w14:textId="77777777" w:rsidR="00D24586" w:rsidRPr="004805E5" w:rsidRDefault="00D24586" w:rsidP="00D24586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07DBDFCE" w14:textId="77777777" w:rsidR="00D24586" w:rsidRPr="00BD7567" w:rsidRDefault="00D24586" w:rsidP="00BD7567">
            <w:pPr>
              <w:pStyle w:val="Question"/>
              <w:rPr>
                <w:b w:val="0"/>
                <w:bCs/>
              </w:rPr>
            </w:pPr>
          </w:p>
        </w:tc>
      </w:tr>
      <w:tr w:rsidR="00D24586" w:rsidRPr="002477B5" w14:paraId="30EC78D2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52E663D6" w14:textId="77777777" w:rsidR="00D24586" w:rsidRPr="004805E5" w:rsidRDefault="00D24586" w:rsidP="00D24586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6B90E6A0" w14:textId="46E9886B" w:rsidR="00D24586" w:rsidRPr="002477B5" w:rsidRDefault="00C478BE" w:rsidP="005D421A">
            <w:pPr>
              <w:pStyle w:val="Question"/>
            </w:pPr>
            <w:r w:rsidRPr="008A37D7">
              <w:t>Are there are any other matters about the environmental consent regimes that you think need to be considered in the context of the offshore renewable energy permitting regime?</w:t>
            </w:r>
          </w:p>
        </w:tc>
      </w:tr>
      <w:tr w:rsidR="00BD7567" w14:paraId="37D4AB6B" w14:textId="77777777" w:rsidTr="00BD7567">
        <w:trPr>
          <w:trHeight w:val="269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</w:tcPr>
          <w:p w14:paraId="7AE3CAF4" w14:textId="77777777" w:rsidR="00BD7567" w:rsidRDefault="00BD7567" w:rsidP="002C1D4E">
            <w:pPr>
              <w:rPr>
                <w:lang w:eastAsia="ko-KR"/>
              </w:rPr>
            </w:pPr>
          </w:p>
        </w:tc>
        <w:tc>
          <w:tcPr>
            <w:tcW w:w="8737" w:type="dxa"/>
            <w:vMerge w:val="restart"/>
            <w:tcBorders>
              <w:right w:val="single" w:sz="4" w:space="0" w:color="auto"/>
            </w:tcBorders>
          </w:tcPr>
          <w:p w14:paraId="0FEDFB77" w14:textId="77777777" w:rsidR="00BD7567" w:rsidRDefault="00BD7567" w:rsidP="002C1D4E">
            <w:pPr>
              <w:rPr>
                <w:lang w:eastAsia="ko-KR"/>
              </w:rPr>
            </w:pPr>
          </w:p>
        </w:tc>
      </w:tr>
      <w:tr w:rsidR="00BD7567" w14:paraId="3F0ABD29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3EA60155" w14:textId="77777777" w:rsidR="00BD7567" w:rsidRDefault="00BD7567" w:rsidP="002C1D4E">
            <w:pPr>
              <w:rPr>
                <w:lang w:eastAsia="ko-KR"/>
              </w:rPr>
            </w:pPr>
          </w:p>
        </w:tc>
        <w:tc>
          <w:tcPr>
            <w:tcW w:w="8737" w:type="dxa"/>
            <w:vMerge/>
            <w:tcBorders>
              <w:right w:val="single" w:sz="4" w:space="0" w:color="auto"/>
            </w:tcBorders>
          </w:tcPr>
          <w:p w14:paraId="018DFC0A" w14:textId="77777777" w:rsidR="00BD7567" w:rsidRPr="00BD7567" w:rsidRDefault="00BD7567" w:rsidP="00BD7567">
            <w:pPr>
              <w:pStyle w:val="Question"/>
              <w:rPr>
                <w:b w:val="0"/>
                <w:bCs/>
              </w:rPr>
            </w:pPr>
          </w:p>
        </w:tc>
      </w:tr>
      <w:tr w:rsidR="00C478BE" w14:paraId="76BC7E16" w14:textId="77777777" w:rsidTr="00946B0B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1A07AA36" w14:textId="21D5EE5E" w:rsidR="00C478BE" w:rsidRDefault="00C478BE" w:rsidP="00C478BE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3319902B" w14:textId="3BAC959B" w:rsidR="00C478BE" w:rsidRPr="006E557F" w:rsidRDefault="00295BBD" w:rsidP="00C478BE">
            <w:pPr>
              <w:rPr>
                <w:b/>
                <w:bCs/>
                <w:lang w:eastAsia="ko-KR"/>
              </w:rPr>
            </w:pPr>
            <w:r w:rsidRPr="00C21843">
              <w:rPr>
                <w:b/>
              </w:rPr>
              <w:t>How should the fac</w:t>
            </w:r>
            <w:r w:rsidR="00C21843" w:rsidRPr="00C21843">
              <w:rPr>
                <w:b/>
              </w:rPr>
              <w:t xml:space="preserve">tors outlined </w:t>
            </w:r>
            <w:r w:rsidR="006E557F" w:rsidRPr="00C21843">
              <w:rPr>
                <w:b/>
              </w:rPr>
              <w:t>influence decisions to pursue offshore renewable energy developments in the E</w:t>
            </w:r>
            <w:r w:rsidR="004A28CC">
              <w:rPr>
                <w:b/>
              </w:rPr>
              <w:t xml:space="preserve">xclusive </w:t>
            </w:r>
            <w:r w:rsidR="006E557F" w:rsidRPr="00C21843">
              <w:rPr>
                <w:b/>
              </w:rPr>
              <w:t>E</w:t>
            </w:r>
            <w:r w:rsidR="004A28CC">
              <w:rPr>
                <w:b/>
              </w:rPr>
              <w:t xml:space="preserve">conomic </w:t>
            </w:r>
            <w:r w:rsidR="006E557F" w:rsidRPr="00C21843">
              <w:rPr>
                <w:b/>
              </w:rPr>
              <w:t>Z</w:t>
            </w:r>
            <w:r w:rsidR="004A28CC">
              <w:rPr>
                <w:b/>
              </w:rPr>
              <w:t>one</w:t>
            </w:r>
            <w:r w:rsidR="006E557F" w:rsidRPr="00C21843">
              <w:rPr>
                <w:b/>
              </w:rPr>
              <w:t xml:space="preserve"> or the Territorial Sea? Are there other factors that may drive development in the </w:t>
            </w:r>
            <w:r w:rsidR="004A28CC">
              <w:rPr>
                <w:b/>
              </w:rPr>
              <w:t xml:space="preserve">Exclusive Economic Zone </w:t>
            </w:r>
            <w:r w:rsidR="006E557F" w:rsidRPr="00C21843">
              <w:rPr>
                <w:b/>
              </w:rPr>
              <w:t>versus the Territorial Sea?</w:t>
            </w:r>
          </w:p>
        </w:tc>
      </w:tr>
      <w:tr w:rsidR="00BD7567" w14:paraId="1658B655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1EBD652A" w14:textId="77777777" w:rsidR="00BD7567" w:rsidRDefault="00BD7567" w:rsidP="002C1D4E">
            <w:pPr>
              <w:rPr>
                <w:lang w:eastAsia="ko-KR"/>
              </w:rPr>
            </w:pPr>
          </w:p>
        </w:tc>
        <w:tc>
          <w:tcPr>
            <w:tcW w:w="8737" w:type="dxa"/>
            <w:vMerge w:val="restart"/>
            <w:tcBorders>
              <w:right w:val="single" w:sz="4" w:space="0" w:color="auto"/>
            </w:tcBorders>
          </w:tcPr>
          <w:p w14:paraId="62DEBF2B" w14:textId="77777777" w:rsidR="00BD7567" w:rsidRDefault="00BD7567" w:rsidP="002C1D4E">
            <w:pPr>
              <w:rPr>
                <w:lang w:eastAsia="ko-KR"/>
              </w:rPr>
            </w:pPr>
          </w:p>
        </w:tc>
      </w:tr>
      <w:tr w:rsidR="00BD7567" w14:paraId="3BC3B932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645788F5" w14:textId="77777777" w:rsidR="00BD7567" w:rsidRDefault="00BD7567" w:rsidP="002C1D4E">
            <w:pPr>
              <w:rPr>
                <w:lang w:eastAsia="ko-KR"/>
              </w:rPr>
            </w:pPr>
          </w:p>
        </w:tc>
        <w:tc>
          <w:tcPr>
            <w:tcW w:w="8737" w:type="dxa"/>
            <w:vMerge/>
            <w:tcBorders>
              <w:right w:val="single" w:sz="4" w:space="0" w:color="auto"/>
            </w:tcBorders>
          </w:tcPr>
          <w:p w14:paraId="0D2E140C" w14:textId="77777777" w:rsidR="00BD7567" w:rsidRPr="00BD7567" w:rsidRDefault="00BD7567" w:rsidP="00BD7567">
            <w:pPr>
              <w:pStyle w:val="Question"/>
              <w:rPr>
                <w:b w:val="0"/>
                <w:bCs/>
              </w:rPr>
            </w:pPr>
          </w:p>
        </w:tc>
      </w:tr>
      <w:tr w:rsidR="006E557F" w14:paraId="54E1C1DC" w14:textId="77777777" w:rsidTr="003120CD">
        <w:tc>
          <w:tcPr>
            <w:tcW w:w="9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272"/>
            <w:vAlign w:val="center"/>
          </w:tcPr>
          <w:p w14:paraId="159A209C" w14:textId="436842FC" w:rsidR="006E557F" w:rsidRPr="006E557F" w:rsidRDefault="006E557F" w:rsidP="006E557F">
            <w:pPr>
              <w:pStyle w:val="Question"/>
              <w:rPr>
                <w:rFonts w:ascii="Calibri" w:hAnsi="Calibri" w:cs="Arial"/>
                <w:color w:val="FFFFFF" w:themeColor="background1"/>
              </w:rPr>
            </w:pPr>
            <w:r w:rsidRPr="006E557F">
              <w:rPr>
                <w:rFonts w:ascii="Calibri" w:hAnsi="Calibri" w:cs="Arial"/>
                <w:color w:val="FFFFFF" w:themeColor="background1"/>
              </w:rPr>
              <w:t xml:space="preserve">Chapter 9: Enabling transmission and other infrastructure </w:t>
            </w:r>
          </w:p>
        </w:tc>
      </w:tr>
      <w:tr w:rsidR="006E557F" w14:paraId="3E244D68" w14:textId="77777777" w:rsidTr="006E557F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0F0CC1FE" w14:textId="22951D04" w:rsidR="006E557F" w:rsidRDefault="006E557F" w:rsidP="006E557F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777AD402" w14:textId="4F9BF7F6" w:rsidR="006E557F" w:rsidRPr="00BD7567" w:rsidRDefault="00152D61" w:rsidP="00BD7567">
            <w:pPr>
              <w:pStyle w:val="Question"/>
            </w:pPr>
            <w:r>
              <w:t>Are the trade-offs between a developer-led and a TSO-led approach, set out above, correct? Is there anything missing? What could we learn from international models?</w:t>
            </w:r>
          </w:p>
        </w:tc>
      </w:tr>
      <w:tr w:rsidR="00C478BE" w14:paraId="2D4406B8" w14:textId="77777777" w:rsidTr="006E557F">
        <w:trPr>
          <w:trHeight w:val="160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11BA7237" w14:textId="77777777" w:rsidR="00C478BE" w:rsidRDefault="00C478BE" w:rsidP="002C1D4E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38BC5CE1" w14:textId="77777777" w:rsidR="00C478BE" w:rsidRPr="00BD7567" w:rsidRDefault="00C478BE" w:rsidP="00BD7567">
            <w:pPr>
              <w:pStyle w:val="Question"/>
              <w:rPr>
                <w:b w:val="0"/>
                <w:bCs/>
              </w:rPr>
            </w:pPr>
          </w:p>
        </w:tc>
      </w:tr>
      <w:tr w:rsidR="006E557F" w14:paraId="22DA499C" w14:textId="77777777" w:rsidTr="006E557F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59F7083A" w14:textId="6BE2F2A4" w:rsidR="006E557F" w:rsidRDefault="006E557F" w:rsidP="006E557F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7503838A" w14:textId="2ABECA89" w:rsidR="006E557F" w:rsidRPr="00BD7567" w:rsidRDefault="00A1069C" w:rsidP="00BD7567">
            <w:pPr>
              <w:pStyle w:val="Question"/>
            </w:pPr>
            <w:r w:rsidRPr="00BD7567">
              <w:t>Which party do you think should build offshore connection assets? Can existing processes already provide the flexibility for this to be carried out by the developer?</w:t>
            </w:r>
          </w:p>
        </w:tc>
      </w:tr>
      <w:tr w:rsidR="006E557F" w14:paraId="747BA1D6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2B469E8B" w14:textId="77777777" w:rsidR="006E557F" w:rsidRDefault="006E557F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4F3D0F2A" w14:textId="77777777" w:rsidR="006E557F" w:rsidRPr="00BD7567" w:rsidRDefault="006E557F" w:rsidP="00BD7567">
            <w:pPr>
              <w:pStyle w:val="Question"/>
              <w:rPr>
                <w:b w:val="0"/>
                <w:bCs/>
              </w:rPr>
            </w:pPr>
          </w:p>
        </w:tc>
      </w:tr>
      <w:tr w:rsidR="006E557F" w14:paraId="3B974AC3" w14:textId="77777777" w:rsidTr="006E557F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3BA63DD7" w14:textId="77777777" w:rsidR="006E557F" w:rsidRDefault="006E557F" w:rsidP="006E557F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739F2690" w14:textId="092385AB" w:rsidR="006E557F" w:rsidRPr="00BD7567" w:rsidRDefault="00A1069C" w:rsidP="00BD7567">
            <w:pPr>
              <w:pStyle w:val="Question"/>
            </w:pPr>
            <w:r w:rsidRPr="00BD7567">
              <w:t>What are the potential benefits and opportunities for joint connection infrastructure? Do you agree with the barriers set out and how could these be addressed?</w:t>
            </w:r>
          </w:p>
        </w:tc>
      </w:tr>
      <w:tr w:rsidR="006E557F" w14:paraId="1533EE9B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6EF2CBAE" w14:textId="77777777" w:rsidR="006E557F" w:rsidRDefault="006E557F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737CC8E5" w14:textId="77777777" w:rsidR="006E557F" w:rsidRPr="00BD7567" w:rsidRDefault="006E557F" w:rsidP="00BD7567">
            <w:pPr>
              <w:pStyle w:val="Question"/>
              <w:rPr>
                <w:b w:val="0"/>
                <w:bCs/>
              </w:rPr>
            </w:pPr>
          </w:p>
        </w:tc>
      </w:tr>
      <w:tr w:rsidR="006E557F" w14:paraId="0BB160B8" w14:textId="77777777" w:rsidTr="006E557F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051BEC2E" w14:textId="77777777" w:rsidR="006E557F" w:rsidRDefault="006E557F" w:rsidP="006E557F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1B40455A" w14:textId="312728F1" w:rsidR="006E557F" w:rsidRPr="00BD7567" w:rsidRDefault="00A1069C" w:rsidP="00BD7567">
            <w:pPr>
              <w:pStyle w:val="Question"/>
            </w:pPr>
            <w:r w:rsidRPr="00BD7567">
              <w:t>Do you agree with the representation of the timeline challenge for onshore interconnection assets? What opportunities might there be to front load planning work for interconnection upgrades</w:t>
            </w:r>
            <w:r w:rsidR="00C21843">
              <w:t>?</w:t>
            </w:r>
            <w:r w:rsidRPr="00BD7567">
              <w:t xml:space="preserve"> </w:t>
            </w:r>
            <w:r w:rsidR="00C21843">
              <w:t>W</w:t>
            </w:r>
            <w:r w:rsidRPr="00BD7567">
              <w:t>hat role do you see for the developer in this?</w:t>
            </w:r>
          </w:p>
        </w:tc>
      </w:tr>
      <w:tr w:rsidR="006E557F" w14:paraId="3F51C6D3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2ED83036" w14:textId="77777777" w:rsidR="006E557F" w:rsidRDefault="006E557F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36BE5864" w14:textId="77777777" w:rsidR="006E557F" w:rsidRPr="00BD7567" w:rsidRDefault="006E557F" w:rsidP="00BD7567">
            <w:pPr>
              <w:pStyle w:val="Question"/>
              <w:rPr>
                <w:b w:val="0"/>
                <w:bCs/>
              </w:rPr>
            </w:pPr>
          </w:p>
        </w:tc>
      </w:tr>
      <w:tr w:rsidR="006E557F" w14:paraId="6493C9FB" w14:textId="77777777" w:rsidTr="006E557F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2A122692" w14:textId="77777777" w:rsidR="006E557F" w:rsidRDefault="006E557F" w:rsidP="006E557F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155E7AA5" w14:textId="60EB643E" w:rsidR="006E557F" w:rsidRDefault="00A1069C" w:rsidP="00BD7567">
            <w:pPr>
              <w:pStyle w:val="Question"/>
            </w:pPr>
            <w:r w:rsidRPr="008A37D7">
              <w:t xml:space="preserve">What changes might be needed </w:t>
            </w:r>
            <w:proofErr w:type="gramStart"/>
            <w:r w:rsidRPr="008A37D7">
              <w:t>in order to</w:t>
            </w:r>
            <w:proofErr w:type="gramEnd"/>
            <w:r w:rsidRPr="008A37D7">
              <w:t xml:space="preserve"> deliver the types of port infrastructure upgrades needed to support offshore renewables?</w:t>
            </w:r>
          </w:p>
        </w:tc>
      </w:tr>
      <w:tr w:rsidR="006E557F" w14:paraId="54D4BD47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14B88B50" w14:textId="77777777" w:rsidR="006E557F" w:rsidRDefault="006E557F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06C52979" w14:textId="77777777" w:rsidR="006E557F" w:rsidRPr="00BD7567" w:rsidRDefault="006E557F" w:rsidP="00BD7567">
            <w:pPr>
              <w:pStyle w:val="Question"/>
              <w:rPr>
                <w:b w:val="0"/>
                <w:bCs/>
              </w:rPr>
            </w:pPr>
          </w:p>
        </w:tc>
      </w:tr>
      <w:tr w:rsidR="008A6C39" w14:paraId="765A2BCF" w14:textId="77777777" w:rsidTr="0047003B">
        <w:tc>
          <w:tcPr>
            <w:tcW w:w="9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272"/>
          </w:tcPr>
          <w:p w14:paraId="432ED2CF" w14:textId="27373D8E" w:rsidR="008A6C39" w:rsidRDefault="008A6C39" w:rsidP="008A6C39">
            <w:pPr>
              <w:pStyle w:val="Question"/>
              <w:rPr>
                <w:lang w:eastAsia="ko-KR"/>
              </w:rPr>
            </w:pPr>
            <w:r w:rsidRPr="008A6C39">
              <w:rPr>
                <w:rFonts w:ascii="Calibri" w:hAnsi="Calibri" w:cs="Arial"/>
                <w:color w:val="FFFFFF" w:themeColor="background1"/>
              </w:rPr>
              <w:t>Chapter 10: Decommissioning</w:t>
            </w:r>
            <w:r>
              <w:rPr>
                <w:lang w:eastAsia="ko-KR"/>
              </w:rPr>
              <w:t xml:space="preserve"> </w:t>
            </w:r>
          </w:p>
        </w:tc>
      </w:tr>
      <w:tr w:rsidR="006E557F" w14:paraId="468F3C5C" w14:textId="77777777" w:rsidTr="006E557F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0ACC7F7A" w14:textId="77777777" w:rsidR="006E557F" w:rsidRDefault="006E557F" w:rsidP="006E557F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62432FD7" w14:textId="62DDFB67" w:rsidR="006E557F" w:rsidRDefault="008A6C39" w:rsidP="00BD7567">
            <w:pPr>
              <w:pStyle w:val="Question"/>
            </w:pPr>
            <w:r w:rsidRPr="008A37D7">
              <w:t>Should developers be required to submit a decommissioning plan, cost estimate and provide a financial security for the cost estimate?</w:t>
            </w:r>
            <w:r w:rsidR="00C21843">
              <w:t xml:space="preserve"> If not, why not?</w:t>
            </w:r>
          </w:p>
        </w:tc>
      </w:tr>
      <w:tr w:rsidR="006E557F" w14:paraId="66D0B6BF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000B7123" w14:textId="77777777" w:rsidR="006E557F" w:rsidRDefault="006E557F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52000BC7" w14:textId="77777777" w:rsidR="006E557F" w:rsidRPr="00BD7567" w:rsidRDefault="006E557F" w:rsidP="00BD7567">
            <w:pPr>
              <w:pStyle w:val="Question"/>
              <w:rPr>
                <w:b w:val="0"/>
                <w:bCs/>
              </w:rPr>
            </w:pPr>
          </w:p>
        </w:tc>
      </w:tr>
      <w:tr w:rsidR="008A6C39" w14:paraId="547E035C" w14:textId="77777777" w:rsidTr="008A6C39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0CF86DE3" w14:textId="77777777" w:rsidR="008A6C39" w:rsidRDefault="008A6C39" w:rsidP="008A6C39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319C4E8B" w14:textId="2BF12C21" w:rsidR="008A6C39" w:rsidRDefault="00C55123" w:rsidP="00BD7567">
            <w:pPr>
              <w:pStyle w:val="Question"/>
            </w:pPr>
            <w:r w:rsidRPr="00C55123">
              <w:t xml:space="preserve">Should the permit decommissioning plan, cost estimate and financial security </w:t>
            </w:r>
            <w:proofErr w:type="gramStart"/>
            <w:r w:rsidRPr="00C55123">
              <w:t>be based on the assumption</w:t>
            </w:r>
            <w:proofErr w:type="gramEnd"/>
            <w:r w:rsidRPr="00C55123">
              <w:t xml:space="preserve"> of full removal?</w:t>
            </w:r>
            <w:r w:rsidR="00C21843">
              <w:t xml:space="preserve"> If not, why not?</w:t>
            </w:r>
          </w:p>
        </w:tc>
      </w:tr>
      <w:tr w:rsidR="008A6C39" w14:paraId="60086EA5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0153CA99" w14:textId="77777777" w:rsidR="008A6C39" w:rsidRDefault="008A6C39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069011D3" w14:textId="77777777" w:rsidR="008A6C39" w:rsidRPr="00BD7567" w:rsidRDefault="008A6C39" w:rsidP="00BD7567">
            <w:pPr>
              <w:pStyle w:val="Question"/>
              <w:rPr>
                <w:b w:val="0"/>
                <w:bCs/>
              </w:rPr>
            </w:pPr>
          </w:p>
        </w:tc>
      </w:tr>
      <w:tr w:rsidR="008A6C39" w14:paraId="663151F4" w14:textId="77777777" w:rsidTr="008A6C39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709C9031" w14:textId="77777777" w:rsidR="008A6C39" w:rsidRDefault="008A6C39" w:rsidP="008A6C39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41549DAA" w14:textId="0DE6C2A6" w:rsidR="008A6C39" w:rsidRDefault="0049073E" w:rsidP="00BD7567">
            <w:pPr>
              <w:pStyle w:val="Question"/>
            </w:pPr>
            <w:r w:rsidRPr="0049073E">
              <w:t>What are your views on the considerations set out in relation to the calculation of the cost estimate and financial security value or suggested approach for financial security vehicle?</w:t>
            </w:r>
          </w:p>
        </w:tc>
      </w:tr>
      <w:tr w:rsidR="008A6C39" w14:paraId="0F4215CD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0D21FD9F" w14:textId="77777777" w:rsidR="008A6C39" w:rsidRDefault="008A6C39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6C0B7987" w14:textId="77777777" w:rsidR="008A6C39" w:rsidRPr="00BD7567" w:rsidRDefault="008A6C39" w:rsidP="00BD7567">
            <w:pPr>
              <w:pStyle w:val="Question"/>
              <w:rPr>
                <w:b w:val="0"/>
                <w:bCs/>
              </w:rPr>
            </w:pPr>
          </w:p>
        </w:tc>
      </w:tr>
      <w:tr w:rsidR="008A6C39" w14:paraId="77AF23DF" w14:textId="77777777" w:rsidTr="008A6C39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6068A12F" w14:textId="77777777" w:rsidR="008A6C39" w:rsidRDefault="008A6C39" w:rsidP="008A6C39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28FC7206" w14:textId="415C767C" w:rsidR="008A6C39" w:rsidRDefault="008A6C39" w:rsidP="00BD7567">
            <w:pPr>
              <w:pStyle w:val="Question"/>
            </w:pPr>
            <w:r w:rsidRPr="008A37D7">
              <w:t>What should the developer be required to provide in relation to decommissioning at the feasibility application stage?</w:t>
            </w:r>
          </w:p>
        </w:tc>
      </w:tr>
      <w:tr w:rsidR="008A6C39" w14:paraId="551A4512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15001E19" w14:textId="77777777" w:rsidR="008A6C39" w:rsidRDefault="008A6C39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408F50C4" w14:textId="77777777" w:rsidR="008A6C39" w:rsidRPr="00BD7567" w:rsidRDefault="008A6C39" w:rsidP="00BD7567">
            <w:pPr>
              <w:pStyle w:val="Question"/>
              <w:rPr>
                <w:b w:val="0"/>
                <w:bCs/>
              </w:rPr>
            </w:pPr>
          </w:p>
        </w:tc>
      </w:tr>
      <w:tr w:rsidR="008A6C39" w14:paraId="67A6AE04" w14:textId="77777777" w:rsidTr="008A6C39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1205A612" w14:textId="77777777" w:rsidR="008A6C39" w:rsidRDefault="008A6C39" w:rsidP="008A6C39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7DC0C731" w14:textId="30E10C8F" w:rsidR="008A6C39" w:rsidRDefault="008A6C39" w:rsidP="00BD7567">
            <w:pPr>
              <w:pStyle w:val="Question"/>
            </w:pPr>
            <w:r w:rsidRPr="008A37D7">
              <w:t>What ongoing monitoring approach do you think is appropriate for the decommissioning plan, cost estimate and financial security?</w:t>
            </w:r>
          </w:p>
        </w:tc>
      </w:tr>
      <w:tr w:rsidR="008A6C39" w14:paraId="32F91436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006EBC2E" w14:textId="77777777" w:rsidR="008A6C39" w:rsidRDefault="008A6C39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3335D354" w14:textId="77777777" w:rsidR="008A6C39" w:rsidRPr="00BD7567" w:rsidRDefault="008A6C39" w:rsidP="00BD7567">
            <w:pPr>
              <w:pStyle w:val="Question"/>
              <w:rPr>
                <w:b w:val="0"/>
                <w:bCs/>
              </w:rPr>
            </w:pPr>
          </w:p>
        </w:tc>
      </w:tr>
      <w:tr w:rsidR="008A6C39" w14:paraId="0EA02164" w14:textId="77777777" w:rsidTr="008A6C39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07FE1E15" w14:textId="77777777" w:rsidR="008A6C39" w:rsidRDefault="008A6C39" w:rsidP="008A6C39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3AD4BE95" w14:textId="31B14327" w:rsidR="008A6C39" w:rsidRDefault="008A6C39" w:rsidP="00BD7567">
            <w:pPr>
              <w:pStyle w:val="Question"/>
            </w:pPr>
            <w:r w:rsidRPr="008A37D7">
              <w:t>Are there any other ways in which the regulatory regime could encourage the refurbishment of infrastructure or the recycling of materials?</w:t>
            </w:r>
          </w:p>
        </w:tc>
      </w:tr>
      <w:tr w:rsidR="008A6C39" w14:paraId="0B624D29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302DA2D7" w14:textId="77777777" w:rsidR="008A6C39" w:rsidRDefault="008A6C39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61CCDDB5" w14:textId="77777777" w:rsidR="008A6C39" w:rsidRPr="00BD7567" w:rsidRDefault="008A6C39" w:rsidP="00BD7567">
            <w:pPr>
              <w:pStyle w:val="Question"/>
              <w:rPr>
                <w:b w:val="0"/>
                <w:bCs/>
              </w:rPr>
            </w:pPr>
          </w:p>
        </w:tc>
      </w:tr>
      <w:tr w:rsidR="008A6C39" w14:paraId="4BDE1588" w14:textId="77777777" w:rsidTr="008A6C39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276F7529" w14:textId="77777777" w:rsidR="008A6C39" w:rsidRDefault="008A6C39" w:rsidP="008A6C39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79EE73D1" w14:textId="14107F9A" w:rsidR="008A6C39" w:rsidRDefault="008A6C39" w:rsidP="00BD7567">
            <w:pPr>
              <w:pStyle w:val="Question"/>
            </w:pPr>
            <w:r w:rsidRPr="008A37D7">
              <w:t>Should offshore renewable energy projects applying for a consent to decommission be required to provide a detailed decommissioning plan related to environmental effects</w:t>
            </w:r>
            <w:r w:rsidR="00316975">
              <w:t xml:space="preserve"> </w:t>
            </w:r>
            <w:r w:rsidR="007F2A21">
              <w:t xml:space="preserve">for approval </w:t>
            </w:r>
            <w:r w:rsidR="00316975">
              <w:t>by consent authorities</w:t>
            </w:r>
            <w:r w:rsidRPr="008A37D7">
              <w:t>?</w:t>
            </w:r>
            <w:r w:rsidR="00C21843">
              <w:t xml:space="preserve"> If not, why not?</w:t>
            </w:r>
          </w:p>
        </w:tc>
      </w:tr>
      <w:tr w:rsidR="008A6C39" w14:paraId="674FE167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21ECDEF2" w14:textId="77777777" w:rsidR="008A6C39" w:rsidRDefault="008A6C39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1731A9E8" w14:textId="77777777" w:rsidR="008A6C39" w:rsidRPr="00BD7567" w:rsidRDefault="008A6C39" w:rsidP="00BD7567">
            <w:pPr>
              <w:pStyle w:val="Question"/>
              <w:rPr>
                <w:b w:val="0"/>
                <w:bCs/>
              </w:rPr>
            </w:pPr>
          </w:p>
        </w:tc>
      </w:tr>
      <w:tr w:rsidR="008A6C39" w14:paraId="6D506AB2" w14:textId="77777777" w:rsidTr="00375146">
        <w:tc>
          <w:tcPr>
            <w:tcW w:w="9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272"/>
          </w:tcPr>
          <w:p w14:paraId="5E909FD4" w14:textId="32A931E3" w:rsidR="008A6C39" w:rsidRDefault="008A6C39" w:rsidP="008A6C39">
            <w:pPr>
              <w:pStyle w:val="Question"/>
              <w:rPr>
                <w:lang w:eastAsia="ko-KR"/>
              </w:rPr>
            </w:pPr>
            <w:r w:rsidRPr="008A6C39">
              <w:rPr>
                <w:rFonts w:ascii="Calibri" w:hAnsi="Calibri" w:cs="Arial"/>
                <w:color w:val="FFFFFF" w:themeColor="background1"/>
              </w:rPr>
              <w:t>Chapter 11: Compliance</w:t>
            </w:r>
            <w:r>
              <w:rPr>
                <w:lang w:eastAsia="ko-KR"/>
              </w:rPr>
              <w:t xml:space="preserve"> </w:t>
            </w:r>
          </w:p>
        </w:tc>
      </w:tr>
      <w:tr w:rsidR="008A6C39" w14:paraId="35E034CE" w14:textId="77777777" w:rsidTr="008A6C39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411A10F8" w14:textId="77777777" w:rsidR="008A6C39" w:rsidRDefault="008A6C39" w:rsidP="008A6C39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2009DFEC" w14:textId="1496DF2A" w:rsidR="008A6C39" w:rsidRDefault="003E354E" w:rsidP="00BD7567">
            <w:pPr>
              <w:pStyle w:val="Question"/>
            </w:pPr>
            <w:r w:rsidRPr="008A37D7">
              <w:t xml:space="preserve">How can the design of the regulatory regime encourage </w:t>
            </w:r>
            <w:r w:rsidR="00C21843">
              <w:t xml:space="preserve">compliance </w:t>
            </w:r>
            <w:proofErr w:type="gramStart"/>
            <w:r w:rsidRPr="008A37D7">
              <w:t>so as to</w:t>
            </w:r>
            <w:proofErr w:type="gramEnd"/>
            <w:r w:rsidRPr="008A37D7">
              <w:t xml:space="preserve"> reduce instances of non-compliance?</w:t>
            </w:r>
          </w:p>
        </w:tc>
      </w:tr>
      <w:tr w:rsidR="008A6C39" w14:paraId="451E034C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3E8618DC" w14:textId="77777777" w:rsidR="008A6C39" w:rsidRDefault="008A6C39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39747E4C" w14:textId="77777777" w:rsidR="008A6C39" w:rsidRPr="00BD7567" w:rsidRDefault="008A6C39" w:rsidP="00BD7567">
            <w:pPr>
              <w:pStyle w:val="Question"/>
              <w:rPr>
                <w:b w:val="0"/>
                <w:bCs/>
              </w:rPr>
            </w:pPr>
          </w:p>
        </w:tc>
      </w:tr>
      <w:tr w:rsidR="008A6C39" w14:paraId="57A58471" w14:textId="77777777" w:rsidTr="003E354E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2B7164B6" w14:textId="77777777" w:rsidR="008A6C39" w:rsidRDefault="008A6C39" w:rsidP="003E354E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38315563" w14:textId="748F40FD" w:rsidR="008A6C39" w:rsidRDefault="003E354E" w:rsidP="00BD7567">
            <w:pPr>
              <w:pStyle w:val="Question"/>
            </w:pPr>
            <w:bookmarkStart w:id="2" w:name="_Hlk139627624"/>
            <w:r w:rsidRPr="008A37D7">
              <w:t xml:space="preserve">Is the compliance approach and toolbox </w:t>
            </w:r>
            <w:r w:rsidR="007F2A21">
              <w:t xml:space="preserve">in Chapter 11 </w:t>
            </w:r>
            <w:r w:rsidR="00C21843" w:rsidRPr="008A37D7">
              <w:t>appropriat</w:t>
            </w:r>
            <w:r w:rsidR="00C21843">
              <w:t>e</w:t>
            </w:r>
            <w:r w:rsidRPr="008A37D7">
              <w:t xml:space="preserve"> </w:t>
            </w:r>
            <w:r w:rsidR="007F2A21">
              <w:t xml:space="preserve">for </w:t>
            </w:r>
            <w:r w:rsidRPr="008A37D7">
              <w:t>dealing with non-compliance within the regulatory regime?</w:t>
            </w:r>
            <w:bookmarkEnd w:id="2"/>
          </w:p>
        </w:tc>
      </w:tr>
      <w:tr w:rsidR="008A6C39" w14:paraId="28152C28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47244E2B" w14:textId="77777777" w:rsidR="008A6C39" w:rsidRDefault="008A6C39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56D798FE" w14:textId="77777777" w:rsidR="008A6C39" w:rsidRPr="00BD7567" w:rsidRDefault="008A6C39" w:rsidP="00BD7567">
            <w:pPr>
              <w:pStyle w:val="Question"/>
              <w:rPr>
                <w:b w:val="0"/>
                <w:bCs/>
              </w:rPr>
            </w:pPr>
          </w:p>
        </w:tc>
      </w:tr>
      <w:tr w:rsidR="003E354E" w14:paraId="55168956" w14:textId="77777777" w:rsidTr="00AE156B">
        <w:tc>
          <w:tcPr>
            <w:tcW w:w="9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272"/>
          </w:tcPr>
          <w:p w14:paraId="261A2BFE" w14:textId="2E42C7C7" w:rsidR="003E354E" w:rsidRDefault="003E354E" w:rsidP="003E354E">
            <w:pPr>
              <w:pStyle w:val="Question"/>
              <w:rPr>
                <w:lang w:eastAsia="ko-KR"/>
              </w:rPr>
            </w:pPr>
            <w:r w:rsidRPr="003E354E">
              <w:rPr>
                <w:rFonts w:ascii="Calibri" w:hAnsi="Calibri" w:cs="Arial"/>
                <w:color w:val="FFFFFF" w:themeColor="background1"/>
              </w:rPr>
              <w:t>Chapter 12: Other regulatory matters</w:t>
            </w:r>
          </w:p>
        </w:tc>
      </w:tr>
      <w:tr w:rsidR="008A6C39" w14:paraId="17D5D972" w14:textId="77777777" w:rsidTr="003E354E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038881C7" w14:textId="77777777" w:rsidR="008A6C39" w:rsidRDefault="008A6C39" w:rsidP="003E354E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26E7708F" w14:textId="61D27A42" w:rsidR="008A6C39" w:rsidRDefault="00790DC5" w:rsidP="00BD7567">
            <w:pPr>
              <w:pStyle w:val="Question"/>
            </w:pPr>
            <w:r w:rsidRPr="008A37D7">
              <w:t xml:space="preserve">Should the decision maker within the regime be the regulator but with an option for the Minister to </w:t>
            </w:r>
            <w:r w:rsidR="00C21843">
              <w:t xml:space="preserve">become the decision maker </w:t>
            </w:r>
            <w:r w:rsidRPr="008A37D7">
              <w:t>in a specific set of circumstances?</w:t>
            </w:r>
            <w:r w:rsidR="00C21843">
              <w:t xml:space="preserve"> If not, why not?</w:t>
            </w:r>
          </w:p>
        </w:tc>
      </w:tr>
      <w:tr w:rsidR="008A6C39" w14:paraId="72B4006D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0203A670" w14:textId="77777777" w:rsidR="008A6C39" w:rsidRDefault="008A6C39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6114B6C1" w14:textId="77777777" w:rsidR="008A6C39" w:rsidRPr="00BD7567" w:rsidRDefault="008A6C39" w:rsidP="00BD7567">
            <w:pPr>
              <w:pStyle w:val="Question"/>
              <w:rPr>
                <w:b w:val="0"/>
                <w:bCs/>
              </w:rPr>
            </w:pPr>
          </w:p>
        </w:tc>
      </w:tr>
      <w:tr w:rsidR="008A6C39" w14:paraId="69657EB7" w14:textId="77777777" w:rsidTr="00790DC5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139E38CD" w14:textId="77777777" w:rsidR="008A6C39" w:rsidRDefault="008A6C39" w:rsidP="00790DC5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37F5BD21" w14:textId="4A1593B4" w:rsidR="008A6C39" w:rsidRDefault="00790DC5" w:rsidP="00BD7567">
            <w:pPr>
              <w:pStyle w:val="Question"/>
            </w:pPr>
            <w:r w:rsidRPr="008A37D7">
              <w:t xml:space="preserve">Should there be an opportunity for public submissions on the commercial permitting decision? What would this capture that the environmental consent decision </w:t>
            </w:r>
            <w:r w:rsidR="004632AD">
              <w:t xml:space="preserve">does </w:t>
            </w:r>
            <w:r w:rsidRPr="008A37D7">
              <w:t>not?</w:t>
            </w:r>
            <w:r w:rsidR="004632AD">
              <w:t xml:space="preserve"> If not, why not?</w:t>
            </w:r>
          </w:p>
        </w:tc>
      </w:tr>
      <w:tr w:rsidR="008A6C39" w14:paraId="16837E95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75BB299D" w14:textId="77777777" w:rsidR="008A6C39" w:rsidRDefault="008A6C39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283864E5" w14:textId="77777777" w:rsidR="008A6C39" w:rsidRPr="00BD7567" w:rsidRDefault="008A6C39" w:rsidP="00BD7567">
            <w:pPr>
              <w:pStyle w:val="Question"/>
              <w:rPr>
                <w:b w:val="0"/>
                <w:bCs/>
              </w:rPr>
            </w:pPr>
          </w:p>
        </w:tc>
      </w:tr>
      <w:tr w:rsidR="00790DC5" w14:paraId="43242B49" w14:textId="77777777" w:rsidTr="00790DC5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60B7797A" w14:textId="77777777" w:rsidR="00790DC5" w:rsidRDefault="00790DC5" w:rsidP="00790DC5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79BC2D56" w14:textId="11383260" w:rsidR="00790DC5" w:rsidRDefault="00790DC5" w:rsidP="00BD7567">
            <w:pPr>
              <w:pStyle w:val="Question"/>
            </w:pPr>
            <w:r w:rsidRPr="008A37D7">
              <w:t>Should permitting decisions be able to be appealed and if so which ones? Which body should determine such appeals?</w:t>
            </w:r>
          </w:p>
        </w:tc>
      </w:tr>
      <w:tr w:rsidR="00790DC5" w14:paraId="085A8F2E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5D9D70DA" w14:textId="77777777" w:rsidR="00790DC5" w:rsidRDefault="00790DC5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7BFF3328" w14:textId="77777777" w:rsidR="00790DC5" w:rsidRPr="00BD7567" w:rsidRDefault="00790DC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790DC5" w14:paraId="5E207980" w14:textId="77777777" w:rsidTr="00790DC5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50369BB6" w14:textId="77777777" w:rsidR="00790DC5" w:rsidRDefault="00790DC5" w:rsidP="00790DC5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5A0071F4" w14:textId="7C5F4E01" w:rsidR="00790DC5" w:rsidRDefault="00790DC5" w:rsidP="00BD7567">
            <w:pPr>
              <w:pStyle w:val="Question"/>
            </w:pPr>
            <w:r w:rsidRPr="008A37D7">
              <w:t>What early information would potential participants of the regime need to know about health and safety regulations to inform decisions about whether to enter the market?</w:t>
            </w:r>
          </w:p>
        </w:tc>
      </w:tr>
      <w:tr w:rsidR="00790DC5" w14:paraId="21951E7B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1EE217DE" w14:textId="77777777" w:rsidR="00790DC5" w:rsidRDefault="00790DC5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62BA567F" w14:textId="77777777" w:rsidR="00790DC5" w:rsidRPr="00BD7567" w:rsidRDefault="00790DC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790DC5" w14:paraId="741E3714" w14:textId="77777777" w:rsidTr="00790DC5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5029E780" w14:textId="77777777" w:rsidR="00790DC5" w:rsidRDefault="00790DC5" w:rsidP="00790DC5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72A30C5D" w14:textId="430F9B65" w:rsidR="00790DC5" w:rsidRDefault="00790DC5" w:rsidP="00BD7567">
            <w:pPr>
              <w:pStyle w:val="Question"/>
            </w:pPr>
            <w:r w:rsidRPr="008A37D7">
              <w:t>What are your views on the approach to safety zones including the trade-offs between the different options presented?</w:t>
            </w:r>
          </w:p>
        </w:tc>
      </w:tr>
      <w:tr w:rsidR="00790DC5" w14:paraId="2B80D6D8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4633FEAA" w14:textId="77777777" w:rsidR="00790DC5" w:rsidRDefault="00790DC5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53BD9819" w14:textId="77777777" w:rsidR="00790DC5" w:rsidRPr="00BD7567" w:rsidRDefault="00790DC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790DC5" w14:paraId="0101551A" w14:textId="77777777" w:rsidTr="00790DC5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19FA703B" w14:textId="77777777" w:rsidR="00790DC5" w:rsidRDefault="00790DC5" w:rsidP="00790DC5">
            <w:pPr>
              <w:pStyle w:val="ListParagraph"/>
              <w:numPr>
                <w:ilvl w:val="0"/>
                <w:numId w:val="17"/>
              </w:num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37B04985" w14:textId="1D118648" w:rsidR="00790DC5" w:rsidRDefault="00790DC5" w:rsidP="00BD7567">
            <w:pPr>
              <w:pStyle w:val="Question"/>
            </w:pPr>
            <w:r w:rsidRPr="008A37D7">
              <w:t>Do you have any views or concerns with the application of these proposals to other offshore renewable energy technologies?</w:t>
            </w:r>
          </w:p>
        </w:tc>
      </w:tr>
      <w:tr w:rsidR="00790DC5" w14:paraId="350C3E61" w14:textId="77777777" w:rsidTr="005D421A">
        <w:tc>
          <w:tcPr>
            <w:tcW w:w="421" w:type="dxa"/>
            <w:tcBorders>
              <w:left w:val="single" w:sz="4" w:space="0" w:color="auto"/>
            </w:tcBorders>
            <w:shd w:val="clear" w:color="auto" w:fill="006272"/>
          </w:tcPr>
          <w:p w14:paraId="2B2A7B7F" w14:textId="77777777" w:rsidR="00790DC5" w:rsidRDefault="00790DC5" w:rsidP="006E557F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17D081B2" w14:textId="77777777" w:rsidR="00790DC5" w:rsidRPr="00BD7567" w:rsidRDefault="00790DC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6E557F" w:rsidRPr="002477B5" w14:paraId="2A17FD24" w14:textId="77777777" w:rsidTr="00234404">
        <w:tc>
          <w:tcPr>
            <w:tcW w:w="9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272"/>
          </w:tcPr>
          <w:p w14:paraId="36991719" w14:textId="5ACC0DF0" w:rsidR="006E557F" w:rsidRPr="00DA5CF2" w:rsidRDefault="006E557F" w:rsidP="006E557F">
            <w:pPr>
              <w:pStyle w:val="Question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FFFFFF" w:themeColor="background1"/>
              </w:rPr>
              <w:t>General comments</w:t>
            </w:r>
            <w:r w:rsidR="00BD7567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</w:tr>
      <w:tr w:rsidR="006E557F" w:rsidRPr="002477B5" w14:paraId="7F434187" w14:textId="77777777" w:rsidTr="00234404">
        <w:tc>
          <w:tcPr>
            <w:tcW w:w="91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8EBA" w14:textId="77777777" w:rsidR="006E557F" w:rsidRDefault="006E557F" w:rsidP="006E557F">
            <w:pPr>
              <w:pStyle w:val="Question"/>
              <w:rPr>
                <w:rFonts w:ascii="Calibri" w:hAnsi="Calibri" w:cs="Arial"/>
                <w:b w:val="0"/>
                <w:bCs/>
                <w:color w:val="000000"/>
              </w:rPr>
            </w:pPr>
          </w:p>
          <w:p w14:paraId="69F006C3" w14:textId="77777777" w:rsidR="006E557F" w:rsidRDefault="006E557F" w:rsidP="006E557F">
            <w:pPr>
              <w:pStyle w:val="Question"/>
              <w:rPr>
                <w:rFonts w:ascii="Calibri" w:hAnsi="Calibri" w:cs="Arial"/>
                <w:b w:val="0"/>
                <w:bCs/>
                <w:color w:val="000000"/>
              </w:rPr>
            </w:pPr>
          </w:p>
          <w:p w14:paraId="19566754" w14:textId="77777777" w:rsidR="006E557F" w:rsidRDefault="006E557F" w:rsidP="006E557F">
            <w:pPr>
              <w:pStyle w:val="Question"/>
              <w:rPr>
                <w:rFonts w:ascii="Calibri" w:hAnsi="Calibri" w:cs="Arial"/>
                <w:b w:val="0"/>
                <w:bCs/>
                <w:color w:val="000000"/>
              </w:rPr>
            </w:pPr>
          </w:p>
          <w:p w14:paraId="45F5BC3D" w14:textId="38406458" w:rsidR="006E557F" w:rsidRPr="00DF73E8" w:rsidRDefault="006E557F" w:rsidP="006E557F">
            <w:pPr>
              <w:pStyle w:val="Question"/>
              <w:rPr>
                <w:rFonts w:ascii="Calibri" w:hAnsi="Calibri" w:cs="Arial"/>
                <w:b w:val="0"/>
                <w:bCs/>
                <w:color w:val="000000"/>
              </w:rPr>
            </w:pPr>
          </w:p>
        </w:tc>
      </w:tr>
    </w:tbl>
    <w:p w14:paraId="7107864D" w14:textId="77777777" w:rsidR="008950B5" w:rsidRDefault="008950B5">
      <w:pPr>
        <w:rPr>
          <w:rFonts w:ascii="Calibri" w:eastAsia="Times New Roman" w:hAnsi="Calibri" w:cs="Times New Roman"/>
          <w:lang w:eastAsia="ko-KR"/>
        </w:rPr>
      </w:pPr>
    </w:p>
    <w:sectPr w:rsidR="008950B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09F9" w14:textId="77777777" w:rsidR="00561A21" w:rsidRDefault="00561A21" w:rsidP="00234404">
      <w:pPr>
        <w:spacing w:after="0" w:line="240" w:lineRule="auto"/>
      </w:pPr>
      <w:r>
        <w:separator/>
      </w:r>
    </w:p>
  </w:endnote>
  <w:endnote w:type="continuationSeparator" w:id="0">
    <w:p w14:paraId="175C0E2E" w14:textId="77777777" w:rsidR="00561A21" w:rsidRDefault="00561A21" w:rsidP="0023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366059"/>
      <w:docPartObj>
        <w:docPartGallery w:val="Page Numbers (Bottom of Page)"/>
        <w:docPartUnique/>
      </w:docPartObj>
    </w:sdtPr>
    <w:sdtEndPr/>
    <w:sdtContent>
      <w:p w14:paraId="1E5A3EEC" w14:textId="5721D549" w:rsidR="00234404" w:rsidRDefault="00234404" w:rsidP="00234404">
        <w:pPr>
          <w:pStyle w:val="Footer"/>
        </w:pPr>
        <w:r>
          <w:t xml:space="preserve">Submission on </w:t>
        </w:r>
        <w:r w:rsidRPr="00234404">
          <w:rPr>
            <w:i/>
            <w:iCs/>
          </w:rPr>
          <w:t>Developing a Regulatory Framework for Offshore Renewable Energy</w:t>
        </w:r>
        <w:r w:rsidRPr="00234404">
          <w:t xml:space="preserve"> </w:t>
        </w:r>
        <w:r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1E0B4948" w14:textId="77777777" w:rsidR="00234404" w:rsidRDefault="00234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81EE" w14:textId="77777777" w:rsidR="00561A21" w:rsidRDefault="00561A21" w:rsidP="00234404">
      <w:pPr>
        <w:spacing w:after="0" w:line="240" w:lineRule="auto"/>
      </w:pPr>
      <w:r>
        <w:separator/>
      </w:r>
    </w:p>
  </w:footnote>
  <w:footnote w:type="continuationSeparator" w:id="0">
    <w:p w14:paraId="218E002A" w14:textId="77777777" w:rsidR="00561A21" w:rsidRDefault="00561A21" w:rsidP="00234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41A"/>
    <w:multiLevelType w:val="multilevel"/>
    <w:tmpl w:val="EA74E55C"/>
    <w:lvl w:ilvl="0">
      <w:start w:val="1"/>
      <w:numFmt w:val="lowerLetter"/>
      <w:lvlText w:val="%1."/>
      <w:lvlJc w:val="left"/>
      <w:pPr>
        <w:ind w:left="425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782" w:hanging="35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139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96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5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6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24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81" w:hanging="357"/>
      </w:pPr>
      <w:rPr>
        <w:rFonts w:hint="default"/>
      </w:rPr>
    </w:lvl>
  </w:abstractNum>
  <w:abstractNum w:abstractNumId="1" w15:restartNumberingAfterBreak="0">
    <w:nsid w:val="077548EF"/>
    <w:multiLevelType w:val="multilevel"/>
    <w:tmpl w:val="EA74E55C"/>
    <w:lvl w:ilvl="0">
      <w:start w:val="1"/>
      <w:numFmt w:val="lowerLetter"/>
      <w:lvlText w:val="%1."/>
      <w:lvlJc w:val="left"/>
      <w:pPr>
        <w:ind w:left="924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281" w:hanging="35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357"/>
      </w:pPr>
      <w:rPr>
        <w:rFonts w:hint="default"/>
      </w:rPr>
    </w:lvl>
  </w:abstractNum>
  <w:abstractNum w:abstractNumId="2" w15:restartNumberingAfterBreak="0">
    <w:nsid w:val="10007421"/>
    <w:multiLevelType w:val="hybridMultilevel"/>
    <w:tmpl w:val="C4C2BA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2317"/>
    <w:multiLevelType w:val="hybridMultilevel"/>
    <w:tmpl w:val="1CC4EF0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644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A739B"/>
    <w:multiLevelType w:val="hybridMultilevel"/>
    <w:tmpl w:val="E38867C4"/>
    <w:lvl w:ilvl="0" w:tplc="FC584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F1628"/>
    <w:multiLevelType w:val="multilevel"/>
    <w:tmpl w:val="60BA3DEA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28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3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9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5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3" w:hanging="357"/>
      </w:pPr>
      <w:rPr>
        <w:rFonts w:hint="default"/>
      </w:rPr>
    </w:lvl>
  </w:abstractNum>
  <w:abstractNum w:abstractNumId="6" w15:restartNumberingAfterBreak="0">
    <w:nsid w:val="300147E0"/>
    <w:multiLevelType w:val="hybridMultilevel"/>
    <w:tmpl w:val="4E022F1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644" w:hanging="360"/>
      </w:pPr>
    </w:lvl>
    <w:lvl w:ilvl="2" w:tplc="1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5575C9"/>
    <w:multiLevelType w:val="hybridMultilevel"/>
    <w:tmpl w:val="C5BA240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61670F"/>
    <w:multiLevelType w:val="hybridMultilevel"/>
    <w:tmpl w:val="F498FA8E"/>
    <w:lvl w:ilvl="0" w:tplc="9DCC1730">
      <w:start w:val="1"/>
      <w:numFmt w:val="decimal"/>
      <w:pStyle w:val="Questionnumber"/>
      <w:lvlText w:val="%1"/>
      <w:lvlJc w:val="left"/>
      <w:pPr>
        <w:ind w:left="502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174145"/>
    <w:multiLevelType w:val="multilevel"/>
    <w:tmpl w:val="48C295FC"/>
    <w:lvl w:ilvl="0">
      <w:start w:val="1"/>
      <w:numFmt w:val="lowerLetter"/>
      <w:lvlText w:val="%1."/>
      <w:lvlJc w:val="left"/>
      <w:pPr>
        <w:ind w:left="924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Roman"/>
      <w:lvlText w:val="%2."/>
      <w:lvlJc w:val="right"/>
      <w:pPr>
        <w:ind w:left="128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357"/>
      </w:pPr>
      <w:rPr>
        <w:rFonts w:hint="default"/>
      </w:rPr>
    </w:lvl>
  </w:abstractNum>
  <w:abstractNum w:abstractNumId="10" w15:restartNumberingAfterBreak="0">
    <w:nsid w:val="4B6C2F2E"/>
    <w:multiLevelType w:val="hybridMultilevel"/>
    <w:tmpl w:val="7B12DF3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15C51"/>
    <w:multiLevelType w:val="hybridMultilevel"/>
    <w:tmpl w:val="1CC4EF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AB50B9"/>
    <w:multiLevelType w:val="hybridMultilevel"/>
    <w:tmpl w:val="4806810E"/>
    <w:lvl w:ilvl="0" w:tplc="A030D8DC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 w:tplc="14090019">
      <w:start w:val="1"/>
      <w:numFmt w:val="lowerLetter"/>
      <w:lvlText w:val="%2."/>
      <w:lvlJc w:val="left"/>
      <w:pPr>
        <w:ind w:left="644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FD0304"/>
    <w:multiLevelType w:val="hybridMultilevel"/>
    <w:tmpl w:val="EF03CE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11D3324"/>
    <w:multiLevelType w:val="multilevel"/>
    <w:tmpl w:val="FE0CC764"/>
    <w:lvl w:ilvl="0">
      <w:start w:val="1"/>
      <w:numFmt w:val="lowerLetter"/>
      <w:pStyle w:val="BodyText-Numbered"/>
      <w:lvlText w:val="%1."/>
      <w:lvlJc w:val="left"/>
      <w:pPr>
        <w:ind w:left="924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Roman"/>
      <w:lvlText w:val="%2."/>
      <w:lvlJc w:val="right"/>
      <w:pPr>
        <w:ind w:left="128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357"/>
      </w:pPr>
      <w:rPr>
        <w:rFonts w:hint="default"/>
      </w:rPr>
    </w:lvl>
  </w:abstractNum>
  <w:abstractNum w:abstractNumId="15" w15:restartNumberingAfterBreak="0">
    <w:nsid w:val="76D771EE"/>
    <w:multiLevelType w:val="hybridMultilevel"/>
    <w:tmpl w:val="ED963EB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A2403"/>
    <w:multiLevelType w:val="hybridMultilevel"/>
    <w:tmpl w:val="75B4D86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644" w:hanging="360"/>
      </w:pPr>
    </w:lvl>
    <w:lvl w:ilvl="2" w:tplc="1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334355">
    <w:abstractNumId w:val="14"/>
  </w:num>
  <w:num w:numId="2" w16cid:durableId="1268732439">
    <w:abstractNumId w:val="3"/>
  </w:num>
  <w:num w:numId="3" w16cid:durableId="726296150">
    <w:abstractNumId w:val="9"/>
  </w:num>
  <w:num w:numId="4" w16cid:durableId="239368633">
    <w:abstractNumId w:val="0"/>
  </w:num>
  <w:num w:numId="5" w16cid:durableId="959069043">
    <w:abstractNumId w:val="13"/>
  </w:num>
  <w:num w:numId="6" w16cid:durableId="1319919499">
    <w:abstractNumId w:val="1"/>
  </w:num>
  <w:num w:numId="7" w16cid:durableId="844169537">
    <w:abstractNumId w:val="10"/>
  </w:num>
  <w:num w:numId="8" w16cid:durableId="1856576140">
    <w:abstractNumId w:val="5"/>
  </w:num>
  <w:num w:numId="9" w16cid:durableId="1131628208">
    <w:abstractNumId w:val="6"/>
  </w:num>
  <w:num w:numId="10" w16cid:durableId="886138764">
    <w:abstractNumId w:val="16"/>
  </w:num>
  <w:num w:numId="11" w16cid:durableId="1659192300">
    <w:abstractNumId w:val="7"/>
  </w:num>
  <w:num w:numId="12" w16cid:durableId="953366961">
    <w:abstractNumId w:val="8"/>
  </w:num>
  <w:num w:numId="13" w16cid:durableId="356738935">
    <w:abstractNumId w:val="8"/>
    <w:lvlOverride w:ilvl="0">
      <w:startOverride w:val="1"/>
    </w:lvlOverride>
  </w:num>
  <w:num w:numId="14" w16cid:durableId="2040932287">
    <w:abstractNumId w:val="14"/>
  </w:num>
  <w:num w:numId="15" w16cid:durableId="1596161122">
    <w:abstractNumId w:val="14"/>
  </w:num>
  <w:num w:numId="16" w16cid:durableId="1358434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2224152">
    <w:abstractNumId w:val="12"/>
  </w:num>
  <w:num w:numId="18" w16cid:durableId="1676348075">
    <w:abstractNumId w:val="2"/>
  </w:num>
  <w:num w:numId="19" w16cid:durableId="1890144445">
    <w:abstractNumId w:val="4"/>
  </w:num>
  <w:num w:numId="20" w16cid:durableId="12819541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62"/>
    <w:rsid w:val="00030205"/>
    <w:rsid w:val="0006784B"/>
    <w:rsid w:val="000F68F1"/>
    <w:rsid w:val="00122D49"/>
    <w:rsid w:val="001357F5"/>
    <w:rsid w:val="00152D61"/>
    <w:rsid w:val="001D04B0"/>
    <w:rsid w:val="00232B83"/>
    <w:rsid w:val="00234404"/>
    <w:rsid w:val="002477B5"/>
    <w:rsid w:val="00295BBD"/>
    <w:rsid w:val="002C4EFE"/>
    <w:rsid w:val="002D3B17"/>
    <w:rsid w:val="00316975"/>
    <w:rsid w:val="00326E1B"/>
    <w:rsid w:val="00365EC5"/>
    <w:rsid w:val="003B28A2"/>
    <w:rsid w:val="003E354E"/>
    <w:rsid w:val="003F6E13"/>
    <w:rsid w:val="00406428"/>
    <w:rsid w:val="00427D75"/>
    <w:rsid w:val="004632AD"/>
    <w:rsid w:val="004805E5"/>
    <w:rsid w:val="0049073E"/>
    <w:rsid w:val="00496D62"/>
    <w:rsid w:val="004A2037"/>
    <w:rsid w:val="004A28CC"/>
    <w:rsid w:val="004A522E"/>
    <w:rsid w:val="004B1EFE"/>
    <w:rsid w:val="004E7BAE"/>
    <w:rsid w:val="005161B3"/>
    <w:rsid w:val="00532EBA"/>
    <w:rsid w:val="0053388D"/>
    <w:rsid w:val="00561A21"/>
    <w:rsid w:val="00570A13"/>
    <w:rsid w:val="0057676E"/>
    <w:rsid w:val="005A4C6B"/>
    <w:rsid w:val="005D421A"/>
    <w:rsid w:val="00647BB4"/>
    <w:rsid w:val="006A2D23"/>
    <w:rsid w:val="006E557F"/>
    <w:rsid w:val="00713F3A"/>
    <w:rsid w:val="00727C63"/>
    <w:rsid w:val="00746D26"/>
    <w:rsid w:val="00756DE9"/>
    <w:rsid w:val="0078191F"/>
    <w:rsid w:val="00790DC5"/>
    <w:rsid w:val="007B7B57"/>
    <w:rsid w:val="007F2A21"/>
    <w:rsid w:val="00845388"/>
    <w:rsid w:val="00864BAF"/>
    <w:rsid w:val="008950B5"/>
    <w:rsid w:val="008A6C39"/>
    <w:rsid w:val="00921AC2"/>
    <w:rsid w:val="00934B7C"/>
    <w:rsid w:val="00951412"/>
    <w:rsid w:val="0097273C"/>
    <w:rsid w:val="00A1069C"/>
    <w:rsid w:val="00A373B6"/>
    <w:rsid w:val="00AB3068"/>
    <w:rsid w:val="00B50513"/>
    <w:rsid w:val="00B56205"/>
    <w:rsid w:val="00BB2313"/>
    <w:rsid w:val="00BD7567"/>
    <w:rsid w:val="00C122AC"/>
    <w:rsid w:val="00C21843"/>
    <w:rsid w:val="00C478BE"/>
    <w:rsid w:val="00C55123"/>
    <w:rsid w:val="00C6172B"/>
    <w:rsid w:val="00C82012"/>
    <w:rsid w:val="00C92661"/>
    <w:rsid w:val="00D24586"/>
    <w:rsid w:val="00D35504"/>
    <w:rsid w:val="00D47FF3"/>
    <w:rsid w:val="00DA5CF2"/>
    <w:rsid w:val="00DA7511"/>
    <w:rsid w:val="00DB7BC4"/>
    <w:rsid w:val="00DF73E8"/>
    <w:rsid w:val="00E1416F"/>
    <w:rsid w:val="00E963CE"/>
    <w:rsid w:val="00F2213E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63A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586"/>
  </w:style>
  <w:style w:type="paragraph" w:styleId="Heading1">
    <w:name w:val="heading 1"/>
    <w:basedOn w:val="Normal"/>
    <w:next w:val="Normal"/>
    <w:link w:val="Heading1Char"/>
    <w:uiPriority w:val="9"/>
    <w:qFormat/>
    <w:rsid w:val="005A4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Numbered">
    <w:name w:val="Body Text - Numbered"/>
    <w:basedOn w:val="Normal"/>
    <w:qFormat/>
    <w:rsid w:val="00496D62"/>
    <w:pPr>
      <w:numPr>
        <w:numId w:val="1"/>
      </w:numPr>
      <w:spacing w:before="120" w:after="120" w:line="270" w:lineRule="exact"/>
    </w:pPr>
    <w:rPr>
      <w:rFonts w:ascii="Calibri" w:eastAsia="Times New Roman" w:hAnsi="Calibri" w:cs="Times New Roman"/>
      <w:lang w:eastAsia="ko-KR"/>
    </w:rPr>
  </w:style>
  <w:style w:type="paragraph" w:styleId="ListParagraph">
    <w:name w:val="List Paragraph"/>
    <w:aliases w:val="Figure_name,List Paragraph1,Bullet- First level,Recommendation list,List Paragraph11,Dot pt,F5 List Paragraph,No Spacing1,List Paragraph Char Char Char,Indicator Text,Colorful List - Accent 11,Numbered Para 1,Bullet,b1,Alt.,Bullet list"/>
    <w:basedOn w:val="Normal"/>
    <w:link w:val="ListParagraphChar"/>
    <w:uiPriority w:val="34"/>
    <w:qFormat/>
    <w:rsid w:val="001D04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EFE"/>
    <w:rPr>
      <w:color w:val="0062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88D"/>
    <w:rPr>
      <w:color w:val="605E5C"/>
      <w:shd w:val="clear" w:color="auto" w:fill="E1DFDD"/>
    </w:rPr>
  </w:style>
  <w:style w:type="paragraph" w:customStyle="1" w:styleId="Default">
    <w:name w:val="Default"/>
    <w:rsid w:val="0053388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B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5D421A"/>
    <w:pPr>
      <w:spacing w:before="120" w:after="120" w:line="276" w:lineRule="auto"/>
    </w:pPr>
    <w:rPr>
      <w:b/>
    </w:rPr>
  </w:style>
  <w:style w:type="paragraph" w:customStyle="1" w:styleId="Questionnumber">
    <w:name w:val="Question number"/>
    <w:basedOn w:val="Normal"/>
    <w:link w:val="QuestionnumberChar"/>
    <w:rsid w:val="00AB3068"/>
    <w:pPr>
      <w:numPr>
        <w:numId w:val="12"/>
      </w:numPr>
      <w:spacing w:after="200" w:line="276" w:lineRule="auto"/>
      <w:ind w:left="0" w:firstLine="0"/>
      <w:jc w:val="center"/>
    </w:pPr>
    <w:rPr>
      <w:b/>
      <w:color w:val="FFFFFF" w:themeColor="background1"/>
    </w:rPr>
  </w:style>
  <w:style w:type="character" w:customStyle="1" w:styleId="QuestionnumberChar">
    <w:name w:val="Question number Char"/>
    <w:basedOn w:val="DefaultParagraphFont"/>
    <w:link w:val="Questionnumber"/>
    <w:rsid w:val="00AB3068"/>
    <w:rPr>
      <w:b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5A4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8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8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4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4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2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D2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BAE"/>
    <w:rPr>
      <w:b/>
      <w:bCs/>
      <w:sz w:val="20"/>
      <w:szCs w:val="20"/>
    </w:rPr>
  </w:style>
  <w:style w:type="character" w:customStyle="1" w:styleId="ListParagraphChar">
    <w:name w:val="List Paragraph Char"/>
    <w:aliases w:val="Figure_name Char,List Paragraph1 Char,Bullet- First level Char,Recommendation list Char,List Paragraph11 Char,Dot pt Char,F5 List Paragraph Char,No Spacing1 Char,List Paragraph Char Char Char Char,Indicator Text Char,Bullet Char"/>
    <w:basedOn w:val="DefaultParagraphFont"/>
    <w:link w:val="ListParagraph"/>
    <w:uiPriority w:val="34"/>
    <w:rsid w:val="003F6E13"/>
  </w:style>
  <w:style w:type="paragraph" w:styleId="Header">
    <w:name w:val="header"/>
    <w:basedOn w:val="Normal"/>
    <w:link w:val="HeaderChar"/>
    <w:uiPriority w:val="99"/>
    <w:unhideWhenUsed/>
    <w:rsid w:val="00234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404"/>
  </w:style>
  <w:style w:type="paragraph" w:styleId="Footer">
    <w:name w:val="footer"/>
    <w:basedOn w:val="Normal"/>
    <w:link w:val="FooterChar"/>
    <w:uiPriority w:val="99"/>
    <w:unhideWhenUsed/>
    <w:rsid w:val="00234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shorerenewables@mbie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shorerenewables@mbie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1608</Words>
  <Characters>9171</Characters>
  <Application>Microsoft Office Word</Application>
  <DocSecurity>0</DocSecurity>
  <Lines>76</Lines>
  <Paragraphs>21</Paragraphs>
  <ScaleCrop>false</ScaleCrop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template for developing a regulatory framework for offshore renewable energy discussion document</dc:title>
  <dc:subject/>
  <dc:creator/>
  <cp:keywords/>
  <dc:description/>
  <cp:lastModifiedBy/>
  <cp:revision>1</cp:revision>
  <dcterms:created xsi:type="dcterms:W3CDTF">2023-08-08T02:46:00Z</dcterms:created>
  <dcterms:modified xsi:type="dcterms:W3CDTF">2023-08-08T02:46:00Z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2023-08-08T02:46:57Z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16172255-634d-4f35-914c-0d4e5eb2693f</vt:lpwstr>
  </property>
  <property fmtid="{D5CDD505-2E9C-101B-9397-08002B2CF9AE}" pid="8" name="MSIP_Label_738466f7-346c-47bb-a4d2-4a6558d61975_ContentBits">
    <vt:lpwstr>0</vt:lpwstr>
  </property>
</Properties>
</file>