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534DD" w14:textId="77777777" w:rsidR="009651B7" w:rsidRPr="00DD16F2" w:rsidRDefault="009651B7" w:rsidP="009651B7">
      <w:pPr>
        <w:jc w:val="center"/>
        <w:rPr>
          <w:b/>
          <w:bCs/>
          <w:sz w:val="28"/>
          <w:szCs w:val="28"/>
        </w:rPr>
      </w:pPr>
      <w:r w:rsidRPr="00DD16F2">
        <w:rPr>
          <w:b/>
          <w:bCs/>
          <w:sz w:val="28"/>
          <w:szCs w:val="28"/>
        </w:rPr>
        <w:t>Summary of Public Consultation</w:t>
      </w:r>
    </w:p>
    <w:p w14:paraId="4CA9E20B" w14:textId="77777777" w:rsidR="009651B7" w:rsidRPr="00DD16F2" w:rsidRDefault="009651B7" w:rsidP="009651B7">
      <w:pPr>
        <w:jc w:val="center"/>
        <w:rPr>
          <w:b/>
          <w:bCs/>
          <w:sz w:val="24"/>
          <w:szCs w:val="24"/>
        </w:rPr>
      </w:pPr>
      <w:r w:rsidRPr="00DD16F2">
        <w:rPr>
          <w:b/>
          <w:bCs/>
          <w:sz w:val="24"/>
          <w:szCs w:val="24"/>
        </w:rPr>
        <w:t>Tourism Data Leadership Group (TDLG) Terms of Reference (TOR)</w:t>
      </w:r>
    </w:p>
    <w:p w14:paraId="2C519F15" w14:textId="27AC440C" w:rsidR="009651B7" w:rsidRPr="00DD16F2" w:rsidRDefault="009651B7" w:rsidP="009651B7">
      <w:pPr>
        <w:jc w:val="center"/>
        <w:rPr>
          <w:b/>
          <w:bCs/>
          <w:sz w:val="24"/>
          <w:szCs w:val="24"/>
        </w:rPr>
      </w:pPr>
      <w:r w:rsidRPr="00DD16F2">
        <w:rPr>
          <w:b/>
          <w:bCs/>
          <w:sz w:val="24"/>
          <w:szCs w:val="24"/>
        </w:rPr>
        <w:t xml:space="preserve">March </w:t>
      </w:r>
      <w:r w:rsidR="0028722C" w:rsidRPr="00DD16F2">
        <w:rPr>
          <w:b/>
          <w:bCs/>
          <w:sz w:val="24"/>
          <w:szCs w:val="24"/>
        </w:rPr>
        <w:t>8</w:t>
      </w:r>
      <w:r w:rsidRPr="00DD16F2">
        <w:rPr>
          <w:b/>
          <w:bCs/>
          <w:sz w:val="24"/>
          <w:szCs w:val="24"/>
          <w:vertAlign w:val="superscript"/>
        </w:rPr>
        <w:t>th</w:t>
      </w:r>
      <w:r w:rsidRPr="00DD16F2">
        <w:rPr>
          <w:b/>
          <w:bCs/>
          <w:sz w:val="24"/>
          <w:szCs w:val="24"/>
        </w:rPr>
        <w:t xml:space="preserve"> – 15</w:t>
      </w:r>
      <w:r w:rsidRPr="00DD16F2">
        <w:rPr>
          <w:b/>
          <w:bCs/>
          <w:sz w:val="24"/>
          <w:szCs w:val="24"/>
          <w:vertAlign w:val="superscript"/>
        </w:rPr>
        <w:t>th</w:t>
      </w:r>
      <w:r w:rsidRPr="00DD16F2">
        <w:rPr>
          <w:b/>
          <w:bCs/>
          <w:sz w:val="24"/>
          <w:szCs w:val="24"/>
        </w:rPr>
        <w:t xml:space="preserve"> 2023</w:t>
      </w:r>
    </w:p>
    <w:p w14:paraId="5250AF5C" w14:textId="77777777" w:rsidR="009651B7" w:rsidRDefault="009651B7" w:rsidP="009651B7">
      <w:pPr>
        <w:jc w:val="both"/>
      </w:pPr>
    </w:p>
    <w:p w14:paraId="7C64483E" w14:textId="77777777" w:rsidR="009651B7" w:rsidRPr="00194EC6" w:rsidRDefault="009651B7" w:rsidP="0028722C">
      <w:pPr>
        <w:spacing w:after="100" w:afterAutospacing="1" w:line="240" w:lineRule="atLeast"/>
        <w:jc w:val="both"/>
        <w:rPr>
          <w:b/>
          <w:bCs/>
        </w:rPr>
      </w:pPr>
      <w:r w:rsidRPr="00194EC6">
        <w:rPr>
          <w:b/>
          <w:bCs/>
        </w:rPr>
        <w:t>Background</w:t>
      </w:r>
    </w:p>
    <w:p w14:paraId="2992E464" w14:textId="08D597D9" w:rsidR="009651B7" w:rsidRDefault="009651B7" w:rsidP="0028722C">
      <w:pPr>
        <w:spacing w:after="100" w:afterAutospacing="1" w:line="360" w:lineRule="atLeast"/>
        <w:jc w:val="both"/>
      </w:pPr>
      <w:r>
        <w:t>The Tourism Data Leadership Group (TDLG) was established in May 2022 and initially had a Terms of Reference (TOR) covering a twelve-month period. It has been agreed by MBIE and the TDLG and noted by the Minister of Tourism that an extension of the TDLG is required and a revised TOR has been produced by MBIE to take into account the next stage of the TDLG.</w:t>
      </w:r>
    </w:p>
    <w:p w14:paraId="03509351" w14:textId="77777777" w:rsidR="009651B7" w:rsidRPr="00194EC6" w:rsidRDefault="009651B7" w:rsidP="0028722C">
      <w:pPr>
        <w:spacing w:after="100" w:afterAutospacing="1" w:line="360" w:lineRule="atLeast"/>
        <w:jc w:val="both"/>
        <w:rPr>
          <w:b/>
          <w:bCs/>
        </w:rPr>
      </w:pPr>
      <w:r w:rsidRPr="00194EC6">
        <w:rPr>
          <w:b/>
          <w:bCs/>
        </w:rPr>
        <w:t>Timing</w:t>
      </w:r>
    </w:p>
    <w:p w14:paraId="68FCBEFC" w14:textId="3A3B1D08" w:rsidR="009651B7" w:rsidRDefault="009651B7" w:rsidP="0028722C">
      <w:pPr>
        <w:spacing w:after="100" w:afterAutospacing="1" w:line="360" w:lineRule="atLeast"/>
        <w:jc w:val="both"/>
      </w:pPr>
      <w:r>
        <w:t>The revised TOR were posted on the MBIE website on Wednesday 8</w:t>
      </w:r>
      <w:r w:rsidRPr="005224B2">
        <w:rPr>
          <w:vertAlign w:val="superscript"/>
        </w:rPr>
        <w:t>th</w:t>
      </w:r>
      <w:r>
        <w:t xml:space="preserve"> March 2023.  Emails were sent to those on the MBIE Tourism Data Users group (N=1909) to inform them of the new content.  The consultation period was open for seven days and closed on the 15</w:t>
      </w:r>
      <w:r w:rsidRPr="005224B2">
        <w:rPr>
          <w:vertAlign w:val="superscript"/>
        </w:rPr>
        <w:t xml:space="preserve">th </w:t>
      </w:r>
      <w:r>
        <w:t>of March 2023.</w:t>
      </w:r>
    </w:p>
    <w:p w14:paraId="4337AF99" w14:textId="77777777" w:rsidR="009651B7" w:rsidRPr="00194EC6" w:rsidRDefault="009651B7" w:rsidP="0028722C">
      <w:pPr>
        <w:spacing w:after="100" w:afterAutospacing="1" w:line="360" w:lineRule="atLeast"/>
        <w:jc w:val="both"/>
        <w:rPr>
          <w:b/>
          <w:bCs/>
        </w:rPr>
      </w:pPr>
      <w:r w:rsidRPr="00194EC6">
        <w:rPr>
          <w:b/>
          <w:bCs/>
        </w:rPr>
        <w:t>Responses</w:t>
      </w:r>
    </w:p>
    <w:p w14:paraId="4A58698E" w14:textId="77777777" w:rsidR="009651B7" w:rsidRDefault="009651B7" w:rsidP="0028722C">
      <w:pPr>
        <w:spacing w:before="0" w:after="0" w:line="360" w:lineRule="atLeast"/>
        <w:jc w:val="both"/>
      </w:pPr>
      <w:r>
        <w:t>A total of six responses were received via the MBIE website on the revised TOR.</w:t>
      </w:r>
    </w:p>
    <w:p w14:paraId="3CD658C8" w14:textId="77777777" w:rsidR="009651B7" w:rsidRDefault="009651B7" w:rsidP="0028722C">
      <w:pPr>
        <w:spacing w:before="0" w:after="0" w:line="360" w:lineRule="atLeast"/>
        <w:jc w:val="both"/>
      </w:pPr>
      <w:r>
        <w:t>Responses were from individuals, companies and RTOs.</w:t>
      </w:r>
    </w:p>
    <w:p w14:paraId="0618D597" w14:textId="77777777" w:rsidR="009651B7" w:rsidRDefault="009651B7" w:rsidP="0028722C">
      <w:pPr>
        <w:spacing w:before="0" w:after="0" w:line="360" w:lineRule="atLeast"/>
        <w:jc w:val="both"/>
      </w:pPr>
      <w:r>
        <w:t>Overall, the responses were positive and appreciative of the opportunity to provide feedback.</w:t>
      </w:r>
    </w:p>
    <w:p w14:paraId="01C6A8AC" w14:textId="77777777" w:rsidR="009651B7" w:rsidRDefault="009651B7" w:rsidP="0028722C">
      <w:pPr>
        <w:spacing w:before="0" w:after="0" w:line="360" w:lineRule="atLeast"/>
        <w:jc w:val="both"/>
      </w:pPr>
      <w:r>
        <w:t xml:space="preserve">The main themes </w:t>
      </w:r>
      <w:r w:rsidRPr="006E039D">
        <w:t>tendered</w:t>
      </w:r>
      <w:r>
        <w:t xml:space="preserve"> were:</w:t>
      </w:r>
    </w:p>
    <w:p w14:paraId="3D418568" w14:textId="77777777" w:rsidR="009651B7" w:rsidRDefault="009651B7" w:rsidP="0028722C">
      <w:pPr>
        <w:pStyle w:val="ListParagraph"/>
        <w:numPr>
          <w:ilvl w:val="0"/>
          <w:numId w:val="24"/>
        </w:numPr>
        <w:spacing w:before="0" w:after="100" w:afterAutospacing="1" w:line="360" w:lineRule="atLeast"/>
        <w:jc w:val="both"/>
      </w:pPr>
      <w:r>
        <w:t>There was support for the revised TOR because this allowed for a continuation of the work to investigate new data sets and insights for the long-term betterment of the NZ tourism sector.</w:t>
      </w:r>
    </w:p>
    <w:p w14:paraId="15A7C618" w14:textId="77777777" w:rsidR="009651B7" w:rsidRDefault="009651B7" w:rsidP="0028722C">
      <w:pPr>
        <w:pStyle w:val="ListParagraph"/>
        <w:numPr>
          <w:ilvl w:val="0"/>
          <w:numId w:val="24"/>
        </w:numPr>
        <w:spacing w:before="0" w:after="100" w:afterAutospacing="1" w:line="360" w:lineRule="atLeast"/>
        <w:jc w:val="both"/>
      </w:pPr>
      <w:r>
        <w:t>A recommendation was made to change the TDLG line of Ministerial interaction back to the position where the TDLG will make recommendations to the Minister of Tourism for improvements to the tourism data system.</w:t>
      </w:r>
    </w:p>
    <w:p w14:paraId="606752FE" w14:textId="77777777" w:rsidR="009651B7" w:rsidRDefault="009651B7" w:rsidP="0028722C">
      <w:pPr>
        <w:pStyle w:val="ListParagraph"/>
        <w:numPr>
          <w:ilvl w:val="0"/>
          <w:numId w:val="24"/>
        </w:numPr>
        <w:spacing w:before="0" w:after="100" w:afterAutospacing="1" w:line="360" w:lineRule="atLeast"/>
        <w:jc w:val="both"/>
      </w:pPr>
      <w:r>
        <w:t>The appointment committee should consider including research academic with a strong background in tourism statistics. Consideration should also be given to someone who has a future focus on technical aspects covering AI in data collection.</w:t>
      </w:r>
    </w:p>
    <w:p w14:paraId="76E7D707" w14:textId="77777777" w:rsidR="009651B7" w:rsidRDefault="009651B7" w:rsidP="0028722C">
      <w:pPr>
        <w:pStyle w:val="ListParagraph"/>
        <w:numPr>
          <w:ilvl w:val="0"/>
          <w:numId w:val="24"/>
        </w:numPr>
        <w:spacing w:before="0" w:after="100" w:afterAutospacing="1" w:line="360" w:lineRule="atLeast"/>
        <w:jc w:val="both"/>
      </w:pPr>
      <w:r>
        <w:lastRenderedPageBreak/>
        <w:t>It was considered important that the TDLG consider the domestic tourism data set using credit card data or electronic point of sale collection of data.</w:t>
      </w:r>
    </w:p>
    <w:p w14:paraId="373111F1" w14:textId="77777777" w:rsidR="009651B7" w:rsidRDefault="009651B7" w:rsidP="0028722C">
      <w:pPr>
        <w:pStyle w:val="ListParagraph"/>
        <w:numPr>
          <w:ilvl w:val="0"/>
          <w:numId w:val="24"/>
        </w:numPr>
        <w:spacing w:before="0" w:after="100" w:afterAutospacing="1" w:line="360" w:lineRule="atLeast"/>
        <w:jc w:val="both"/>
      </w:pPr>
      <w:r>
        <w:t>The question was presented, “Is the TDLG an independent body or is it a body of independent individuals? It is not clear if the TDLG can function independently of MBIE, or even whether or not it should function independently of MBIE.” MBIE should consider the nuances of this proposition.</w:t>
      </w:r>
    </w:p>
    <w:p w14:paraId="708A21B1" w14:textId="77777777" w:rsidR="009651B7" w:rsidRPr="00B72CD2" w:rsidRDefault="009651B7" w:rsidP="0028722C">
      <w:pPr>
        <w:pStyle w:val="ListParagraph"/>
        <w:numPr>
          <w:ilvl w:val="0"/>
          <w:numId w:val="24"/>
        </w:numPr>
        <w:spacing w:before="0" w:after="100" w:afterAutospacing="1" w:line="360" w:lineRule="atLeast"/>
        <w:jc w:val="both"/>
      </w:pPr>
      <w:r>
        <w:t>It was deemed important to ensure that any new data sets do not just focus on economic measures, but include social, cultural, and environmental impacts of tourism, both positive and negative.</w:t>
      </w:r>
    </w:p>
    <w:p w14:paraId="7E3B66A7" w14:textId="77777777" w:rsidR="009651B7" w:rsidRDefault="009651B7" w:rsidP="0028722C">
      <w:pPr>
        <w:pStyle w:val="ListParagraph"/>
        <w:numPr>
          <w:ilvl w:val="0"/>
          <w:numId w:val="24"/>
        </w:numPr>
        <w:spacing w:before="0" w:after="100" w:afterAutospacing="1" w:line="360" w:lineRule="atLeast"/>
        <w:jc w:val="both"/>
      </w:pPr>
      <w:r>
        <w:t>The topic</w:t>
      </w:r>
      <w:r w:rsidDel="00754677">
        <w:t xml:space="preserve"> </w:t>
      </w:r>
      <w:r>
        <w:t>of addressing the tough issues was raised around the environmental costs of tourism.  In particular, the aviation and transport emissions must be considered in any cost benefit analysis of NZ tourism. The tough tourism data issues should not be avoided.</w:t>
      </w:r>
    </w:p>
    <w:p w14:paraId="47DE0F7A" w14:textId="77777777" w:rsidR="009651B7" w:rsidRDefault="009651B7" w:rsidP="0028722C">
      <w:pPr>
        <w:pStyle w:val="ListParagraph"/>
        <w:numPr>
          <w:ilvl w:val="0"/>
          <w:numId w:val="24"/>
        </w:numPr>
        <w:spacing w:before="0" w:after="100" w:afterAutospacing="1" w:line="360" w:lineRule="atLeast"/>
        <w:jc w:val="both"/>
      </w:pPr>
      <w:r>
        <w:t>The revised TOR was deemed to be a logical way to allow the TDLG to become more operational and implement aspects of their report.</w:t>
      </w:r>
    </w:p>
    <w:p w14:paraId="2D048A12" w14:textId="77777777" w:rsidR="009651B7" w:rsidRDefault="009651B7" w:rsidP="0028722C">
      <w:pPr>
        <w:pStyle w:val="ListParagraph"/>
        <w:numPr>
          <w:ilvl w:val="0"/>
          <w:numId w:val="24"/>
        </w:numPr>
        <w:spacing w:before="0" w:after="100" w:afterAutospacing="1" w:line="360" w:lineRule="atLeast"/>
        <w:jc w:val="both"/>
      </w:pPr>
      <w:r>
        <w:t>The two-year tenure was endorsed as a way to ensure continuity of the collective knowledge and experience of the group and projects.</w:t>
      </w:r>
    </w:p>
    <w:p w14:paraId="2231AAB5" w14:textId="77777777" w:rsidR="009651B7" w:rsidRDefault="009651B7" w:rsidP="0028722C">
      <w:pPr>
        <w:pStyle w:val="ListParagraph"/>
        <w:numPr>
          <w:ilvl w:val="0"/>
          <w:numId w:val="24"/>
        </w:numPr>
        <w:spacing w:before="0" w:after="100" w:afterAutospacing="1" w:line="360" w:lineRule="atLeast"/>
        <w:jc w:val="both"/>
      </w:pPr>
      <w:r>
        <w:t>There is a keen expectation from industry to see what the proposed outputs of the TDLG will be. There is a desire that regional level and destination management metrics will be included.</w:t>
      </w:r>
    </w:p>
    <w:p w14:paraId="666EB73F" w14:textId="77777777" w:rsidR="009651B7" w:rsidRDefault="009651B7" w:rsidP="0028722C">
      <w:pPr>
        <w:pStyle w:val="ListParagraph"/>
        <w:numPr>
          <w:ilvl w:val="0"/>
          <w:numId w:val="24"/>
        </w:numPr>
        <w:spacing w:before="0" w:after="100" w:afterAutospacing="1" w:line="360" w:lineRule="atLeast"/>
        <w:jc w:val="both"/>
      </w:pPr>
      <w:r>
        <w:t xml:space="preserve">Consideration should be given to paying the TDLG members a nominal fee rather than suggesting they provide their time for free. </w:t>
      </w:r>
    </w:p>
    <w:p w14:paraId="4078CF64" w14:textId="77777777" w:rsidR="009651B7" w:rsidRPr="003C7B3B" w:rsidRDefault="009651B7" w:rsidP="0028722C">
      <w:pPr>
        <w:pStyle w:val="ListParagraph"/>
        <w:numPr>
          <w:ilvl w:val="0"/>
          <w:numId w:val="24"/>
        </w:numPr>
        <w:spacing w:before="0" w:after="100" w:afterAutospacing="1" w:line="360" w:lineRule="atLeast"/>
        <w:jc w:val="both"/>
      </w:pPr>
      <w:r>
        <w:t xml:space="preserve">The question was presented that does the TOR need to shift from ‘tourism’ sector to ‘visitor’ sector to reflect the need for a an equal </w:t>
      </w:r>
      <w:proofErr w:type="gramStart"/>
      <w:r>
        <w:t>bi-focus</w:t>
      </w:r>
      <w:proofErr w:type="gramEnd"/>
      <w:r>
        <w:t xml:space="preserve"> on both international and domestic metrics?</w:t>
      </w:r>
    </w:p>
    <w:p w14:paraId="75B9118E" w14:textId="77777777" w:rsidR="009651B7" w:rsidRPr="003C7B3B" w:rsidRDefault="009651B7" w:rsidP="0028722C">
      <w:pPr>
        <w:pStyle w:val="ListParagraph"/>
        <w:numPr>
          <w:ilvl w:val="0"/>
          <w:numId w:val="24"/>
        </w:numPr>
        <w:spacing w:before="0" w:after="100" w:afterAutospacing="1" w:line="360" w:lineRule="atLeast"/>
        <w:jc w:val="both"/>
      </w:pPr>
      <w:r>
        <w:t>The point was made, where is Tourism NZ’s involvement in the TDLG?</w:t>
      </w:r>
    </w:p>
    <w:p w14:paraId="57E379CF" w14:textId="77777777" w:rsidR="009651B7" w:rsidRDefault="009651B7" w:rsidP="0028722C">
      <w:pPr>
        <w:pStyle w:val="ListParagraph"/>
        <w:numPr>
          <w:ilvl w:val="0"/>
          <w:numId w:val="24"/>
        </w:numPr>
        <w:spacing w:before="0" w:after="100" w:afterAutospacing="1" w:line="360" w:lineRule="atLeast"/>
        <w:jc w:val="both"/>
      </w:pPr>
      <w:r>
        <w:t>TDLG should consider having a tourism conservationist expert as a member.</w:t>
      </w:r>
    </w:p>
    <w:p w14:paraId="4CC4D28A" w14:textId="77777777" w:rsidR="009651B7" w:rsidRDefault="009651B7" w:rsidP="0028722C">
      <w:pPr>
        <w:spacing w:after="100" w:afterAutospacing="1" w:line="360" w:lineRule="atLeast"/>
        <w:jc w:val="both"/>
      </w:pPr>
    </w:p>
    <w:p w14:paraId="35CDD7E4" w14:textId="77777777" w:rsidR="009651B7" w:rsidRDefault="009651B7" w:rsidP="0028722C">
      <w:pPr>
        <w:spacing w:after="100" w:afterAutospacing="1" w:line="360" w:lineRule="atLeast"/>
        <w:jc w:val="both"/>
      </w:pPr>
      <w:r>
        <w:t xml:space="preserve">Please note that this summary is for TDLG members only please.  A public document of this summary will be released at a later date. </w:t>
      </w:r>
    </w:p>
    <w:p w14:paraId="34E024EA" w14:textId="77777777" w:rsidR="009651B7" w:rsidRDefault="009651B7" w:rsidP="0028722C">
      <w:pPr>
        <w:spacing w:after="100" w:afterAutospacing="1" w:line="360" w:lineRule="atLeast"/>
        <w:jc w:val="both"/>
      </w:pPr>
    </w:p>
    <w:sectPr w:rsidR="009651B7" w:rsidSect="00052D54">
      <w:headerReference w:type="default" r:id="rId8"/>
      <w:pgSz w:w="11906" w:h="16838"/>
      <w:pgMar w:top="2722" w:right="1701" w:bottom="1021" w:left="1701" w:header="709" w:footer="709" w:gutter="0"/>
      <w:pgBorders w:offsetFrom="page">
        <w:top w:val="single" w:sz="4" w:space="22" w:color="A6A6A6" w:themeColor="background1" w:themeShade="A6"/>
        <w:left w:val="single" w:sz="4" w:space="22" w:color="A6A6A6" w:themeColor="background1" w:themeShade="A6"/>
        <w:bottom w:val="single" w:sz="4" w:space="22" w:color="A6A6A6" w:themeColor="background1" w:themeShade="A6"/>
        <w:right w:val="single" w:sz="4" w:space="22" w:color="A6A6A6" w:themeColor="background1" w:themeShade="A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033D" w14:textId="77777777" w:rsidR="00645179" w:rsidRDefault="00645179">
      <w:pPr>
        <w:spacing w:before="0" w:after="0"/>
      </w:pPr>
      <w:r>
        <w:separator/>
      </w:r>
    </w:p>
  </w:endnote>
  <w:endnote w:type="continuationSeparator" w:id="0">
    <w:p w14:paraId="12216116" w14:textId="77777777" w:rsidR="00645179" w:rsidRDefault="006451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8CCD0" w14:textId="77777777" w:rsidR="00645179" w:rsidRDefault="00645179">
      <w:pPr>
        <w:spacing w:before="0" w:after="0"/>
      </w:pPr>
      <w:r>
        <w:separator/>
      </w:r>
    </w:p>
  </w:footnote>
  <w:footnote w:type="continuationSeparator" w:id="0">
    <w:p w14:paraId="66777B5B" w14:textId="77777777" w:rsidR="00645179" w:rsidRDefault="0064517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8402E" w14:textId="77777777" w:rsidR="00CF4700" w:rsidRDefault="000C7811" w:rsidP="00CF4700">
    <w:pPr>
      <w:pStyle w:val="Header"/>
    </w:pPr>
    <w:r>
      <w:rPr>
        <w:noProof/>
        <w:lang w:eastAsia="en-NZ"/>
      </w:rPr>
      <w:drawing>
        <wp:anchor distT="0" distB="0" distL="114300" distR="114300" simplePos="0" relativeHeight="251662336" behindDoc="1" locked="0" layoutInCell="1" allowOverlap="1" wp14:anchorId="6CE8C3F2" wp14:editId="38B20DEE">
          <wp:simplePos x="0" y="0"/>
          <wp:positionH relativeFrom="page">
            <wp:posOffset>302523</wp:posOffset>
          </wp:positionH>
          <wp:positionV relativeFrom="paragraph">
            <wp:posOffset>-163830</wp:posOffset>
          </wp:positionV>
          <wp:extent cx="6982460" cy="1207135"/>
          <wp:effectExtent l="0" t="0" r="8890" b="0"/>
          <wp:wrapNone/>
          <wp:docPr id="13" name="Picture 13" descr="C:\Users\shiree\downloads\MBIE Templates New\MBIE Templates New\memo 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90870" name="Picture 2" descr="C:\Users\shiree\downloads\MBIE Templates New\MBIE Templates New\memo clean.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982460" cy="1207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NZ"/>
      </w:rPr>
      <mc:AlternateContent>
        <mc:Choice Requires="wps">
          <w:drawing>
            <wp:anchor distT="0" distB="0" distL="114300" distR="114300" simplePos="0" relativeHeight="251658240" behindDoc="0" locked="0" layoutInCell="1" allowOverlap="1" wp14:anchorId="21CD3669" wp14:editId="58AD108B">
              <wp:simplePos x="0" y="0"/>
              <wp:positionH relativeFrom="column">
                <wp:posOffset>-13335</wp:posOffset>
              </wp:positionH>
              <wp:positionV relativeFrom="paragraph">
                <wp:posOffset>1207135</wp:posOffset>
              </wp:positionV>
              <wp:extent cx="5429250" cy="0"/>
              <wp:effectExtent l="0" t="19050" r="19050" b="38100"/>
              <wp:wrapNone/>
              <wp:docPr id="12" name="Straight Connector 12"/>
              <wp:cNvGraphicFramePr/>
              <a:graphic xmlns:a="http://schemas.openxmlformats.org/drawingml/2006/main">
                <a:graphicData uri="http://schemas.microsoft.com/office/word/2010/wordprocessingShape">
                  <wps:wsp>
                    <wps:cNvCnPr/>
                    <wps:spPr>
                      <a:xfrm>
                        <a:off x="0" y="0"/>
                        <a:ext cx="5429250" cy="0"/>
                      </a:xfrm>
                      <a:prstGeom prst="line">
                        <a:avLst/>
                      </a:prstGeom>
                      <a:ln w="508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A2A3EA" id="Straight Connector 1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05pt,95.05pt" to="426.45pt,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" strokecolor="#5a5a5a [2109]" strokeweight="4pt"/>
          </w:pict>
        </mc:Fallback>
      </mc:AlternateContent>
    </w:r>
  </w:p>
  <w:p w14:paraId="4A52DDE2" w14:textId="77777777" w:rsidR="00CF4700" w:rsidRDefault="00CF4700" w:rsidP="00835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C3459A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13504E6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E1D07688"/>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54E0756C"/>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FBFCC05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D11EF1C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AA173C5"/>
    <w:multiLevelType w:val="hybridMultilevel"/>
    <w:tmpl w:val="D5FCBC4A"/>
    <w:lvl w:ilvl="0" w:tplc="EDB24B2E">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7EE3610"/>
    <w:multiLevelType w:val="hybridMultilevel"/>
    <w:tmpl w:val="61324B64"/>
    <w:lvl w:ilvl="0" w:tplc="D5FA5B66">
      <w:numFmt w:val="bullet"/>
      <w:pStyle w:val="ListBullet"/>
      <w:lvlText w:val=""/>
      <w:lvlJc w:val="left"/>
      <w:pPr>
        <w:ind w:left="1070" w:hanging="360"/>
      </w:pPr>
      <w:rPr>
        <w:rFonts w:ascii="Symbol" w:eastAsiaTheme="minorHAnsi" w:hAnsi="Symbol" w:cstheme="minorBidi" w:hint="default"/>
      </w:rPr>
    </w:lvl>
    <w:lvl w:ilvl="1" w:tplc="DC02B51E">
      <w:start w:val="1"/>
      <w:numFmt w:val="bullet"/>
      <w:pStyle w:val="ListBullet2"/>
      <w:lvlText w:val="○"/>
      <w:lvlJc w:val="left"/>
      <w:pPr>
        <w:ind w:left="1440" w:hanging="360"/>
      </w:pPr>
      <w:rPr>
        <w:rFonts w:ascii="Courier New" w:hAnsi="Courier New" w:hint="default"/>
      </w:rPr>
    </w:lvl>
    <w:lvl w:ilvl="2" w:tplc="AEA220F6">
      <w:start w:val="1"/>
      <w:numFmt w:val="bullet"/>
      <w:pStyle w:val="ListBullet3"/>
      <w:lvlText w:val="○"/>
      <w:lvlJc w:val="left"/>
      <w:pPr>
        <w:ind w:left="2160" w:hanging="360"/>
      </w:pPr>
      <w:rPr>
        <w:rFonts w:ascii="Courier New" w:hAnsi="Courier New" w:hint="default"/>
      </w:rPr>
    </w:lvl>
    <w:lvl w:ilvl="3" w:tplc="D2000B08" w:tentative="1">
      <w:start w:val="1"/>
      <w:numFmt w:val="bullet"/>
      <w:lvlText w:val=""/>
      <w:lvlJc w:val="left"/>
      <w:pPr>
        <w:ind w:left="2880" w:hanging="360"/>
      </w:pPr>
      <w:rPr>
        <w:rFonts w:ascii="Symbol" w:hAnsi="Symbol" w:hint="default"/>
      </w:rPr>
    </w:lvl>
    <w:lvl w:ilvl="4" w:tplc="6BAE5102" w:tentative="1">
      <w:start w:val="1"/>
      <w:numFmt w:val="bullet"/>
      <w:lvlText w:val="o"/>
      <w:lvlJc w:val="left"/>
      <w:pPr>
        <w:ind w:left="3600" w:hanging="360"/>
      </w:pPr>
      <w:rPr>
        <w:rFonts w:ascii="Courier New" w:hAnsi="Courier New" w:cs="Courier New" w:hint="default"/>
      </w:rPr>
    </w:lvl>
    <w:lvl w:ilvl="5" w:tplc="3AFAD8D4" w:tentative="1">
      <w:start w:val="1"/>
      <w:numFmt w:val="bullet"/>
      <w:lvlText w:val=""/>
      <w:lvlJc w:val="left"/>
      <w:pPr>
        <w:ind w:left="4320" w:hanging="360"/>
      </w:pPr>
      <w:rPr>
        <w:rFonts w:ascii="Wingdings" w:hAnsi="Wingdings" w:hint="default"/>
      </w:rPr>
    </w:lvl>
    <w:lvl w:ilvl="6" w:tplc="BA8AE7D2" w:tentative="1">
      <w:start w:val="1"/>
      <w:numFmt w:val="bullet"/>
      <w:lvlText w:val=""/>
      <w:lvlJc w:val="left"/>
      <w:pPr>
        <w:ind w:left="5040" w:hanging="360"/>
      </w:pPr>
      <w:rPr>
        <w:rFonts w:ascii="Symbol" w:hAnsi="Symbol" w:hint="default"/>
      </w:rPr>
    </w:lvl>
    <w:lvl w:ilvl="7" w:tplc="E6C6C66C" w:tentative="1">
      <w:start w:val="1"/>
      <w:numFmt w:val="bullet"/>
      <w:lvlText w:val="o"/>
      <w:lvlJc w:val="left"/>
      <w:pPr>
        <w:ind w:left="5760" w:hanging="360"/>
      </w:pPr>
      <w:rPr>
        <w:rFonts w:ascii="Courier New" w:hAnsi="Courier New" w:cs="Courier New" w:hint="default"/>
      </w:rPr>
    </w:lvl>
    <w:lvl w:ilvl="8" w:tplc="9188B080" w:tentative="1">
      <w:start w:val="1"/>
      <w:numFmt w:val="bullet"/>
      <w:lvlText w:val=""/>
      <w:lvlJc w:val="left"/>
      <w:pPr>
        <w:ind w:left="6480" w:hanging="360"/>
      </w:pPr>
      <w:rPr>
        <w:rFonts w:ascii="Wingdings" w:hAnsi="Wingdings" w:hint="default"/>
      </w:rPr>
    </w:lvl>
  </w:abstractNum>
  <w:abstractNum w:abstractNumId="8" w15:restartNumberingAfterBreak="0">
    <w:nsid w:val="1869287A"/>
    <w:multiLevelType w:val="hybridMultilevel"/>
    <w:tmpl w:val="5054035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8381602"/>
    <w:multiLevelType w:val="multilevel"/>
    <w:tmpl w:val="7C7C2238"/>
    <w:lvl w:ilvl="0">
      <w:start w:val="1"/>
      <w:numFmt w:val="decimal"/>
      <w:lvlText w:val="%1."/>
      <w:lvlJc w:val="left"/>
      <w:pPr>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94F074D"/>
    <w:multiLevelType w:val="hybridMultilevel"/>
    <w:tmpl w:val="D5FCBC4A"/>
    <w:lvl w:ilvl="0" w:tplc="EDB24B2E">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DB16DA5"/>
    <w:multiLevelType w:val="multilevel"/>
    <w:tmpl w:val="868889F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4" w15:restartNumberingAfterBreak="0">
    <w:nsid w:val="477811D0"/>
    <w:multiLevelType w:val="hybridMultilevel"/>
    <w:tmpl w:val="D5FCBC4A"/>
    <w:lvl w:ilvl="0" w:tplc="EDB24B2E">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7D61B0C"/>
    <w:multiLevelType w:val="hybridMultilevel"/>
    <w:tmpl w:val="62C6D61C"/>
    <w:lvl w:ilvl="0" w:tplc="48542FE6">
      <w:numFmt w:val="bullet"/>
      <w:lvlText w:val=""/>
      <w:lvlJc w:val="left"/>
      <w:pPr>
        <w:ind w:left="1440" w:hanging="720"/>
      </w:pPr>
      <w:rPr>
        <w:rFonts w:ascii="Symbol" w:eastAsiaTheme="minorHAnsi" w:hAnsi="Symbol" w:cstheme="minorBidi" w:hint="default"/>
      </w:rPr>
    </w:lvl>
    <w:lvl w:ilvl="1" w:tplc="629EAA84">
      <w:numFmt w:val="bullet"/>
      <w:lvlText w:val="-"/>
      <w:lvlJc w:val="left"/>
      <w:pPr>
        <w:ind w:left="2160" w:hanging="720"/>
      </w:pPr>
      <w:rPr>
        <w:rFonts w:ascii="Calibri" w:eastAsiaTheme="minorHAnsi" w:hAnsi="Calibri" w:cs="Calibri"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6" w15:restartNumberingAfterBreak="0">
    <w:nsid w:val="52E56045"/>
    <w:multiLevelType w:val="hybridMultilevel"/>
    <w:tmpl w:val="D5FCBC4A"/>
    <w:lvl w:ilvl="0" w:tplc="EDB24B2E">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C2B261C"/>
    <w:multiLevelType w:val="hybridMultilevel"/>
    <w:tmpl w:val="5182693E"/>
    <w:lvl w:ilvl="0" w:tplc="23782F9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A7E131F"/>
    <w:multiLevelType w:val="hybridMultilevel"/>
    <w:tmpl w:val="7C7410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00652524">
    <w:abstractNumId w:val="7"/>
  </w:num>
  <w:num w:numId="2" w16cid:durableId="733742198">
    <w:abstractNumId w:val="5"/>
  </w:num>
  <w:num w:numId="3" w16cid:durableId="1726025808">
    <w:abstractNumId w:val="3"/>
  </w:num>
  <w:num w:numId="4" w16cid:durableId="1772965498">
    <w:abstractNumId w:val="2"/>
  </w:num>
  <w:num w:numId="5" w16cid:durableId="1434789315">
    <w:abstractNumId w:val="4"/>
  </w:num>
  <w:num w:numId="6" w16cid:durableId="795218866">
    <w:abstractNumId w:val="12"/>
  </w:num>
  <w:num w:numId="7" w16cid:durableId="1530948481">
    <w:abstractNumId w:val="1"/>
  </w:num>
  <w:num w:numId="8" w16cid:durableId="1403134865">
    <w:abstractNumId w:val="12"/>
  </w:num>
  <w:num w:numId="9" w16cid:durableId="451629206">
    <w:abstractNumId w:val="0"/>
  </w:num>
  <w:num w:numId="10" w16cid:durableId="911744549">
    <w:abstractNumId w:val="12"/>
  </w:num>
  <w:num w:numId="11" w16cid:durableId="2083673668">
    <w:abstractNumId w:val="9"/>
  </w:num>
  <w:num w:numId="12" w16cid:durableId="1542205003">
    <w:abstractNumId w:val="11"/>
  </w:num>
  <w:num w:numId="13" w16cid:durableId="2406757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41864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8017160">
    <w:abstractNumId w:val="11"/>
    <w:lvlOverride w:ilvl="0">
      <w:lvl w:ilvl="0">
        <w:start w:val="1"/>
        <w:numFmt w:val="decimal"/>
        <w:pStyle w:val="NumberedHeading1"/>
        <w:lvlText w:val="%1."/>
        <w:lvlJc w:val="left"/>
        <w:pPr>
          <w:ind w:left="425" w:hanging="425"/>
        </w:pPr>
        <w:rPr>
          <w:rFonts w:hint="default"/>
        </w:rPr>
      </w:lvl>
    </w:lvlOverride>
    <w:lvlOverride w:ilvl="1">
      <w:lvl w:ilvl="1">
        <w:start w:val="1"/>
        <w:numFmt w:val="decimal"/>
        <w:pStyle w:val="NumberedHeading2"/>
        <w:lvlText w:val="%1.%2."/>
        <w:lvlJc w:val="left"/>
        <w:pPr>
          <w:ind w:left="709" w:hanging="709"/>
        </w:pPr>
        <w:rPr>
          <w:rFonts w:hint="default"/>
        </w:rPr>
      </w:lvl>
    </w:lvlOverride>
    <w:lvlOverride w:ilvl="2">
      <w:lvl w:ilvl="2">
        <w:start w:val="1"/>
        <w:numFmt w:val="decimal"/>
        <w:pStyle w:val="NumberedHeading3"/>
        <w:lvlText w:val="%1.%2.%3."/>
        <w:lvlJc w:val="left"/>
        <w:pPr>
          <w:tabs>
            <w:tab w:val="num" w:pos="425"/>
          </w:tabs>
          <w:ind w:left="709" w:hanging="709"/>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16cid:durableId="1609391010">
    <w:abstractNumId w:val="13"/>
  </w:num>
  <w:num w:numId="17" w16cid:durableId="1645046646">
    <w:abstractNumId w:val="8"/>
  </w:num>
  <w:num w:numId="18" w16cid:durableId="1062487195">
    <w:abstractNumId w:val="15"/>
  </w:num>
  <w:num w:numId="19" w16cid:durableId="1444109048">
    <w:abstractNumId w:val="17"/>
  </w:num>
  <w:num w:numId="20" w16cid:durableId="1143693685">
    <w:abstractNumId w:val="6"/>
  </w:num>
  <w:num w:numId="21" w16cid:durableId="1743327527">
    <w:abstractNumId w:val="16"/>
  </w:num>
  <w:num w:numId="22" w16cid:durableId="85268726">
    <w:abstractNumId w:val="14"/>
  </w:num>
  <w:num w:numId="23" w16cid:durableId="680811834">
    <w:abstractNumId w:val="10"/>
  </w:num>
  <w:num w:numId="24" w16cid:durableId="303044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179"/>
    <w:rsid w:val="00052540"/>
    <w:rsid w:val="00052D54"/>
    <w:rsid w:val="000C7811"/>
    <w:rsid w:val="000F7237"/>
    <w:rsid w:val="0014293C"/>
    <w:rsid w:val="00177D9B"/>
    <w:rsid w:val="001A3B33"/>
    <w:rsid w:val="001D606D"/>
    <w:rsid w:val="001F67E5"/>
    <w:rsid w:val="0028722C"/>
    <w:rsid w:val="004656D1"/>
    <w:rsid w:val="004C5CC9"/>
    <w:rsid w:val="00570579"/>
    <w:rsid w:val="005E6173"/>
    <w:rsid w:val="0062588B"/>
    <w:rsid w:val="00640D57"/>
    <w:rsid w:val="00645179"/>
    <w:rsid w:val="00656886"/>
    <w:rsid w:val="00673810"/>
    <w:rsid w:val="00745383"/>
    <w:rsid w:val="00796541"/>
    <w:rsid w:val="00835B49"/>
    <w:rsid w:val="008376A4"/>
    <w:rsid w:val="00884A54"/>
    <w:rsid w:val="008C320E"/>
    <w:rsid w:val="008D3DA0"/>
    <w:rsid w:val="00910ECC"/>
    <w:rsid w:val="00964A69"/>
    <w:rsid w:val="009651B7"/>
    <w:rsid w:val="00A9752D"/>
    <w:rsid w:val="00AE487B"/>
    <w:rsid w:val="00AF7ABE"/>
    <w:rsid w:val="00B22014"/>
    <w:rsid w:val="00B27521"/>
    <w:rsid w:val="00B63172"/>
    <w:rsid w:val="00BB5D8B"/>
    <w:rsid w:val="00C000BF"/>
    <w:rsid w:val="00CE2526"/>
    <w:rsid w:val="00CF4175"/>
    <w:rsid w:val="00CF4700"/>
    <w:rsid w:val="00D45AFD"/>
    <w:rsid w:val="00D76D1B"/>
    <w:rsid w:val="00DD0FDA"/>
    <w:rsid w:val="00DD16F2"/>
    <w:rsid w:val="00E351FA"/>
    <w:rsid w:val="00E60EA1"/>
    <w:rsid w:val="00E851C7"/>
    <w:rsid w:val="00EC64BF"/>
    <w:rsid w:val="00F17650"/>
    <w:rsid w:val="00F24BAB"/>
    <w:rsid w:val="00F41C0B"/>
    <w:rsid w:val="00F65E5D"/>
    <w:rsid w:val="00F66D96"/>
    <w:rsid w:val="00F67976"/>
    <w:rsid w:val="00F8327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DC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nhideWhenUsed="1"/>
    <w:lsdException w:name="List Bullet 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1B7"/>
    <w:pPr>
      <w:spacing w:before="60" w:after="120" w:line="240" w:lineRule="auto"/>
    </w:pPr>
    <w:rPr>
      <w:rFonts w:ascii="Arial" w:eastAsia="Times New Roman" w:hAnsi="Arial" w:cs="Arial"/>
      <w:szCs w:val="20"/>
    </w:rPr>
  </w:style>
  <w:style w:type="paragraph" w:styleId="Heading1">
    <w:name w:val="heading 1"/>
    <w:basedOn w:val="Normal"/>
    <w:next w:val="Normal"/>
    <w:link w:val="Heading1Char"/>
    <w:uiPriority w:val="1"/>
    <w:qFormat/>
    <w:rsid w:val="00796541"/>
    <w:pPr>
      <w:spacing w:before="240" w:after="240"/>
      <w:outlineLvl w:val="0"/>
    </w:pPr>
    <w:rPr>
      <w:b/>
      <w:sz w:val="36"/>
      <w:szCs w:val="30"/>
    </w:rPr>
  </w:style>
  <w:style w:type="paragraph" w:styleId="Heading2">
    <w:name w:val="heading 2"/>
    <w:basedOn w:val="Normal"/>
    <w:next w:val="Normal"/>
    <w:link w:val="Heading2Char"/>
    <w:uiPriority w:val="1"/>
    <w:qFormat/>
    <w:rsid w:val="00052D54"/>
    <w:pPr>
      <w:pBdr>
        <w:bottom w:val="single" w:sz="8" w:space="6" w:color="595959" w:themeColor="text1" w:themeTint="A6"/>
      </w:pBdr>
      <w:spacing w:before="120" w:after="200"/>
      <w:outlineLvl w:val="1"/>
    </w:pPr>
    <w:rPr>
      <w:b/>
      <w:caps/>
      <w:sz w:val="30"/>
      <w:szCs w:val="30"/>
    </w:rPr>
  </w:style>
  <w:style w:type="paragraph" w:styleId="Heading3">
    <w:name w:val="heading 3"/>
    <w:basedOn w:val="Normal"/>
    <w:next w:val="Normal"/>
    <w:link w:val="Heading3Char"/>
    <w:uiPriority w:val="1"/>
    <w:qFormat/>
    <w:rsid w:val="00796541"/>
    <w:pPr>
      <w:spacing w:before="160"/>
      <w:outlineLvl w:val="2"/>
    </w:pPr>
    <w:rPr>
      <w:b/>
      <w:sz w:val="24"/>
      <w:szCs w:val="24"/>
    </w:rPr>
  </w:style>
  <w:style w:type="paragraph" w:styleId="Heading4">
    <w:name w:val="heading 4"/>
    <w:basedOn w:val="Normal"/>
    <w:next w:val="Normal"/>
    <w:link w:val="Heading4Char"/>
    <w:uiPriority w:val="9"/>
    <w:semiHidden/>
    <w:qFormat/>
    <w:rsid w:val="00EC64BF"/>
    <w:pPr>
      <w:keepNext/>
      <w:keepLines/>
      <w:spacing w:before="200" w:after="0"/>
      <w:outlineLvl w:val="3"/>
    </w:pPr>
    <w:rPr>
      <w:rFonts w:eastAsiaTheme="majorEastAsia" w:cstheme="majorBidi"/>
      <w:b/>
      <w:bCs/>
      <w:iCs/>
      <w:noProo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pPr>
  </w:style>
  <w:style w:type="character" w:customStyle="1" w:styleId="HeaderChar">
    <w:name w:val="Header Char"/>
    <w:basedOn w:val="DefaultParagraphFont"/>
    <w:link w:val="Header"/>
    <w:uiPriority w:val="99"/>
    <w:semiHidden/>
    <w:rsid w:val="00796541"/>
  </w:style>
  <w:style w:type="paragraph" w:styleId="Footer">
    <w:name w:val="footer"/>
    <w:basedOn w:val="Normal"/>
    <w:link w:val="FooterChar"/>
    <w:uiPriority w:val="99"/>
    <w:semiHidden/>
    <w:rsid w:val="00B63172"/>
    <w:pPr>
      <w:tabs>
        <w:tab w:val="center" w:pos="4513"/>
        <w:tab w:val="right" w:pos="9026"/>
      </w:tabs>
      <w:spacing w:after="0"/>
    </w:pPr>
  </w:style>
  <w:style w:type="character" w:customStyle="1" w:styleId="FooterChar">
    <w:name w:val="Footer Char"/>
    <w:basedOn w:val="DefaultParagraphFont"/>
    <w:link w:val="Footer"/>
    <w:uiPriority w:val="99"/>
    <w:semiHidden/>
    <w:rsid w:val="00796541"/>
  </w:style>
  <w:style w:type="paragraph" w:styleId="BalloonText">
    <w:name w:val="Balloon Text"/>
    <w:basedOn w:val="Normal"/>
    <w:link w:val="BalloonTextChar"/>
    <w:uiPriority w:val="99"/>
    <w:semiHidden/>
    <w:rsid w:val="00B6317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1"/>
    <w:rsid w:val="001F67E5"/>
    <w:rPr>
      <w:b/>
      <w:sz w:val="36"/>
      <w:szCs w:val="30"/>
    </w:rPr>
  </w:style>
  <w:style w:type="paragraph" w:styleId="ListBullet">
    <w:name w:val="List Bullet"/>
    <w:basedOn w:val="Normal"/>
    <w:uiPriority w:val="99"/>
    <w:rsid w:val="00F24BAB"/>
    <w:pPr>
      <w:numPr>
        <w:numId w:val="1"/>
      </w:numPr>
      <w:spacing w:after="40"/>
      <w:ind w:left="568" w:hanging="284"/>
      <w:contextualSpacing/>
    </w:pPr>
  </w:style>
  <w:style w:type="paragraph" w:styleId="ListBullet2">
    <w:name w:val="List Bullet 2"/>
    <w:basedOn w:val="ListBullet"/>
    <w:uiPriority w:val="99"/>
    <w:rsid w:val="00F24BAB"/>
    <w:pPr>
      <w:numPr>
        <w:ilvl w:val="1"/>
      </w:numPr>
      <w:ind w:left="1134"/>
    </w:pPr>
  </w:style>
  <w:style w:type="paragraph" w:styleId="ListBullet3">
    <w:name w:val="List Bullet 3"/>
    <w:basedOn w:val="ListBullet"/>
    <w:uiPriority w:val="99"/>
    <w:rsid w:val="00F24BAB"/>
    <w:pPr>
      <w:numPr>
        <w:ilvl w:val="2"/>
      </w:numPr>
      <w:ind w:left="1418"/>
    </w:pPr>
  </w:style>
  <w:style w:type="character" w:customStyle="1" w:styleId="Heading2Char">
    <w:name w:val="Heading 2 Char"/>
    <w:basedOn w:val="DefaultParagraphFont"/>
    <w:link w:val="Heading2"/>
    <w:uiPriority w:val="1"/>
    <w:rsid w:val="001F67E5"/>
    <w:rPr>
      <w:b/>
      <w:caps/>
      <w:sz w:val="30"/>
      <w:szCs w:val="30"/>
    </w:rPr>
  </w:style>
  <w:style w:type="character" w:customStyle="1" w:styleId="Heading3Char">
    <w:name w:val="Heading 3 Char"/>
    <w:basedOn w:val="DefaultParagraphFont"/>
    <w:link w:val="Heading3"/>
    <w:uiPriority w:val="1"/>
    <w:rsid w:val="001F67E5"/>
    <w:rPr>
      <w:b/>
      <w:sz w:val="24"/>
      <w:szCs w:val="24"/>
    </w:rPr>
  </w:style>
  <w:style w:type="paragraph" w:styleId="ListNumber">
    <w:name w:val="List Number"/>
    <w:basedOn w:val="Normal"/>
    <w:uiPriority w:val="99"/>
    <w:rsid w:val="00E851C7"/>
    <w:pPr>
      <w:numPr>
        <w:numId w:val="10"/>
      </w:numPr>
      <w:spacing w:after="40"/>
      <w:contextualSpacing/>
    </w:pPr>
  </w:style>
  <w:style w:type="paragraph" w:styleId="ListNumber2">
    <w:name w:val="List Number 2"/>
    <w:basedOn w:val="Normal"/>
    <w:uiPriority w:val="99"/>
    <w:rsid w:val="00E851C7"/>
    <w:pPr>
      <w:numPr>
        <w:ilvl w:val="1"/>
        <w:numId w:val="10"/>
      </w:numPr>
      <w:spacing w:after="40"/>
      <w:contextualSpacing/>
    </w:pPr>
  </w:style>
  <w:style w:type="paragraph" w:styleId="ListNumber3">
    <w:name w:val="List Number 3"/>
    <w:basedOn w:val="Normal"/>
    <w:uiPriority w:val="99"/>
    <w:rsid w:val="00E851C7"/>
    <w:pPr>
      <w:numPr>
        <w:ilvl w:val="2"/>
        <w:numId w:val="10"/>
      </w:numPr>
      <w:spacing w:after="40"/>
      <w:contextualSpacing/>
    </w:pPr>
  </w:style>
  <w:style w:type="character" w:customStyle="1" w:styleId="Heading4Char">
    <w:name w:val="Heading 4 Char"/>
    <w:basedOn w:val="DefaultParagraphFont"/>
    <w:link w:val="Heading4"/>
    <w:uiPriority w:val="9"/>
    <w:semiHidden/>
    <w:rsid w:val="004C5CC9"/>
    <w:rPr>
      <w:rFonts w:eastAsiaTheme="majorEastAsia" w:cstheme="majorBidi"/>
      <w:b/>
      <w:bCs/>
      <w:iCs/>
      <w:noProof/>
      <w:sz w:val="20"/>
      <w:szCs w:val="20"/>
    </w:rPr>
  </w:style>
  <w:style w:type="paragraph" w:customStyle="1" w:styleId="NumberedHeading1">
    <w:name w:val="Numbered Heading 1"/>
    <w:uiPriority w:val="1"/>
    <w:qFormat/>
    <w:rsid w:val="00EC64BF"/>
    <w:pPr>
      <w:numPr>
        <w:numId w:val="12"/>
      </w:numPr>
    </w:pPr>
    <w:rPr>
      <w:b/>
      <w:noProof/>
      <w:sz w:val="36"/>
      <w:szCs w:val="30"/>
    </w:rPr>
  </w:style>
  <w:style w:type="paragraph" w:customStyle="1" w:styleId="NumberedHeading2">
    <w:name w:val="Numbered Heading 2"/>
    <w:uiPriority w:val="1"/>
    <w:qFormat/>
    <w:rsid w:val="00656886"/>
    <w:pPr>
      <w:numPr>
        <w:ilvl w:val="1"/>
        <w:numId w:val="12"/>
      </w:numPr>
    </w:pPr>
    <w:rPr>
      <w:b/>
      <w:caps/>
      <w:noProof/>
      <w:sz w:val="30"/>
      <w:szCs w:val="30"/>
    </w:rPr>
  </w:style>
  <w:style w:type="paragraph" w:customStyle="1" w:styleId="NumberedHeading3">
    <w:name w:val="Numbered Heading 3"/>
    <w:uiPriority w:val="1"/>
    <w:qFormat/>
    <w:rsid w:val="004C5CC9"/>
    <w:pPr>
      <w:numPr>
        <w:ilvl w:val="2"/>
        <w:numId w:val="12"/>
      </w:numPr>
    </w:pPr>
    <w:rPr>
      <w:b/>
      <w:noProof/>
      <w:sz w:val="24"/>
      <w:szCs w:val="24"/>
    </w:rPr>
  </w:style>
  <w:style w:type="paragraph" w:customStyle="1" w:styleId="NumberedParagraphLevel1">
    <w:name w:val="Numbered Paragraph Level 1"/>
    <w:uiPriority w:val="1"/>
    <w:qFormat/>
    <w:rsid w:val="004C5CC9"/>
    <w:pPr>
      <w:numPr>
        <w:numId w:val="16"/>
      </w:numPr>
    </w:pPr>
    <w:rPr>
      <w:noProof/>
    </w:rPr>
  </w:style>
  <w:style w:type="paragraph" w:customStyle="1" w:styleId="NumberedParagraphLevel2">
    <w:name w:val="Numbered Paragraph Level 2"/>
    <w:uiPriority w:val="1"/>
    <w:qFormat/>
    <w:rsid w:val="004C5CC9"/>
    <w:pPr>
      <w:numPr>
        <w:ilvl w:val="1"/>
        <w:numId w:val="16"/>
      </w:numPr>
    </w:pPr>
    <w:rPr>
      <w:noProof/>
    </w:rPr>
  </w:style>
  <w:style w:type="paragraph" w:customStyle="1" w:styleId="NumberedParagraphLevel3">
    <w:name w:val="Numbered Paragraph Level 3"/>
    <w:uiPriority w:val="1"/>
    <w:qFormat/>
    <w:rsid w:val="004C5CC9"/>
    <w:pPr>
      <w:numPr>
        <w:ilvl w:val="2"/>
        <w:numId w:val="16"/>
      </w:numPr>
    </w:pPr>
    <w:rPr>
      <w:noProof/>
    </w:rPr>
  </w:style>
  <w:style w:type="paragraph" w:styleId="ListParagraph">
    <w:name w:val="List Paragraph"/>
    <w:basedOn w:val="Normal"/>
    <w:uiPriority w:val="34"/>
    <w:qFormat/>
    <w:rsid w:val="006451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184C5-C507-465C-B818-DE98CFA1F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3074</Characters>
  <Application>Microsoft Office Word</Application>
  <DocSecurity>4</DocSecurity>
  <Lines>25</Lines>
  <Paragraphs>7</Paragraphs>
  <ScaleCrop>false</ScaleCrop>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2023-04-04T01:30:00Z</dcterms:created>
  <dcterms:modified xsi:type="dcterms:W3CDTF">2023-04-04T01:30:00Z</dcterms:modified>
</cp:coreProperties>
</file>