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BDA" w:rsidRDefault="004A1BDA" w:rsidP="00C01A4E">
      <w:pPr>
        <w:spacing w:after="0" w:line="240" w:lineRule="auto"/>
        <w:rPr>
          <w:rFonts w:ascii="Arial" w:hAnsi="Arial" w:cs="Arial"/>
          <w:sz w:val="24"/>
          <w:szCs w:val="24"/>
        </w:rPr>
      </w:pPr>
      <w:r>
        <w:rPr>
          <w:rFonts w:ascii="Arial" w:hAnsi="Arial" w:cs="Arial"/>
          <w:sz w:val="24"/>
          <w:szCs w:val="24"/>
        </w:rPr>
        <w:t>In Confidence</w:t>
      </w:r>
      <w:bookmarkStart w:id="0" w:name="_GoBack"/>
      <w:bookmarkEnd w:id="0"/>
    </w:p>
    <w:p w:rsidR="004A1BDA" w:rsidRDefault="004A1BDA" w:rsidP="004A1BDA">
      <w:pPr>
        <w:spacing w:after="160" w:line="259" w:lineRule="auto"/>
        <w:rPr>
          <w:rFonts w:ascii="Arial" w:hAnsi="Arial" w:cs="Arial"/>
          <w:sz w:val="24"/>
          <w:szCs w:val="24"/>
        </w:rPr>
      </w:pPr>
    </w:p>
    <w:p w:rsidR="00FB2261" w:rsidRDefault="005E771C" w:rsidP="004A1BDA">
      <w:pPr>
        <w:spacing w:after="160" w:line="259" w:lineRule="auto"/>
        <w:rPr>
          <w:rFonts w:ascii="Arial" w:hAnsi="Arial" w:cs="Arial"/>
          <w:sz w:val="24"/>
          <w:szCs w:val="24"/>
        </w:rPr>
      </w:pPr>
      <w:r w:rsidRPr="00F642C6">
        <w:rPr>
          <w:rFonts w:ascii="Arial" w:hAnsi="Arial" w:cs="Arial"/>
          <w:sz w:val="24"/>
          <w:szCs w:val="24"/>
        </w:rPr>
        <w:t xml:space="preserve">Office of the Minister </w:t>
      </w:r>
      <w:r w:rsidR="00FB2261">
        <w:rPr>
          <w:rFonts w:ascii="Arial" w:hAnsi="Arial" w:cs="Arial"/>
          <w:sz w:val="24"/>
          <w:szCs w:val="24"/>
        </w:rPr>
        <w:t xml:space="preserve">of </w:t>
      </w:r>
      <w:r w:rsidR="00A213B3">
        <w:rPr>
          <w:rFonts w:ascii="Arial" w:hAnsi="Arial" w:cs="Arial"/>
          <w:sz w:val="24"/>
          <w:szCs w:val="24"/>
        </w:rPr>
        <w:t>Commerce and Consumer Affairs</w:t>
      </w:r>
    </w:p>
    <w:p w:rsidR="0070033B" w:rsidRPr="00F642C6" w:rsidRDefault="0070033B" w:rsidP="004F5750">
      <w:pPr>
        <w:rPr>
          <w:rFonts w:ascii="Arial" w:hAnsi="Arial" w:cs="Arial"/>
          <w:sz w:val="24"/>
          <w:szCs w:val="24"/>
        </w:rPr>
      </w:pPr>
      <w:r w:rsidRPr="00F642C6">
        <w:rPr>
          <w:rFonts w:ascii="Arial" w:hAnsi="Arial" w:cs="Arial"/>
          <w:sz w:val="24"/>
          <w:szCs w:val="24"/>
        </w:rPr>
        <w:t xml:space="preserve">Chair, Cabinet </w:t>
      </w:r>
      <w:r w:rsidR="00AC3ED3" w:rsidRPr="00F642C6">
        <w:rPr>
          <w:rFonts w:ascii="Arial" w:hAnsi="Arial" w:cs="Arial"/>
          <w:sz w:val="24"/>
          <w:szCs w:val="24"/>
        </w:rPr>
        <w:t xml:space="preserve">Economic Development </w:t>
      </w:r>
      <w:r w:rsidRPr="00F642C6">
        <w:rPr>
          <w:rFonts w:ascii="Arial" w:hAnsi="Arial" w:cs="Arial"/>
          <w:sz w:val="24"/>
          <w:szCs w:val="24"/>
        </w:rPr>
        <w:t>Committee</w:t>
      </w:r>
    </w:p>
    <w:p w:rsidR="001C43AA" w:rsidRDefault="001C43AA" w:rsidP="00CF664B">
      <w:pPr>
        <w:rPr>
          <w:rFonts w:ascii="Arial" w:hAnsi="Arial" w:cs="Arial"/>
          <w:b/>
          <w:sz w:val="24"/>
          <w:szCs w:val="24"/>
        </w:rPr>
      </w:pPr>
    </w:p>
    <w:p w:rsidR="0070033B" w:rsidRPr="00F642C6" w:rsidRDefault="008378F5" w:rsidP="00CF664B">
      <w:pPr>
        <w:rPr>
          <w:rFonts w:ascii="Arial" w:hAnsi="Arial" w:cs="Arial"/>
          <w:b/>
          <w:sz w:val="24"/>
          <w:szCs w:val="24"/>
        </w:rPr>
      </w:pPr>
      <w:r>
        <w:rPr>
          <w:rFonts w:ascii="Arial" w:hAnsi="Arial" w:cs="Arial"/>
          <w:b/>
          <w:sz w:val="24"/>
          <w:szCs w:val="24"/>
        </w:rPr>
        <w:t>INTRODUCTION OF A LICENSING REGIME FOR ADMINISTRATORS OF FINANCIAL BENCHMARKS</w:t>
      </w:r>
    </w:p>
    <w:p w:rsidR="00C82B53" w:rsidRPr="00F642C6" w:rsidRDefault="00C82B53" w:rsidP="00C82B53">
      <w:pPr>
        <w:pStyle w:val="CabStandard"/>
        <w:numPr>
          <w:ilvl w:val="0"/>
          <w:numId w:val="0"/>
        </w:numPr>
        <w:ind w:left="720" w:hanging="720"/>
        <w:rPr>
          <w:rFonts w:ascii="Arial" w:hAnsi="Arial" w:cs="Arial"/>
          <w:b/>
          <w:szCs w:val="24"/>
        </w:rPr>
      </w:pPr>
      <w:r w:rsidRPr="00F642C6">
        <w:rPr>
          <w:rFonts w:ascii="Arial" w:hAnsi="Arial" w:cs="Arial"/>
          <w:b/>
          <w:szCs w:val="24"/>
        </w:rPr>
        <w:t xml:space="preserve">Proposal </w:t>
      </w:r>
    </w:p>
    <w:p w:rsidR="00C50156" w:rsidRPr="000965A6" w:rsidRDefault="001D51E4" w:rsidP="000965A6">
      <w:pPr>
        <w:pStyle w:val="CabStandard"/>
        <w:tabs>
          <w:tab w:val="clear" w:pos="1004"/>
          <w:tab w:val="num" w:pos="720"/>
        </w:tabs>
        <w:ind w:left="720"/>
        <w:rPr>
          <w:rFonts w:ascii="Arial" w:hAnsi="Arial" w:cs="Arial"/>
          <w:szCs w:val="24"/>
        </w:rPr>
      </w:pPr>
      <w:r w:rsidRPr="000965A6">
        <w:rPr>
          <w:rFonts w:ascii="Arial" w:hAnsi="Arial" w:cs="Arial"/>
          <w:szCs w:val="24"/>
        </w:rPr>
        <w:t>I seek Cabinet</w:t>
      </w:r>
      <w:r w:rsidR="00C82B53" w:rsidRPr="000965A6">
        <w:rPr>
          <w:rFonts w:ascii="Arial" w:hAnsi="Arial" w:cs="Arial"/>
          <w:szCs w:val="24"/>
        </w:rPr>
        <w:t xml:space="preserve"> agreement to</w:t>
      </w:r>
      <w:r w:rsidR="000965A6">
        <w:rPr>
          <w:rFonts w:ascii="Arial" w:hAnsi="Arial" w:cs="Arial"/>
          <w:szCs w:val="24"/>
        </w:rPr>
        <w:t xml:space="preserve"> </w:t>
      </w:r>
      <w:r w:rsidR="00DA78EB" w:rsidRPr="000965A6">
        <w:rPr>
          <w:rFonts w:ascii="Arial" w:hAnsi="Arial" w:cs="Arial"/>
          <w:szCs w:val="24"/>
        </w:rPr>
        <w:t xml:space="preserve">establish a licensing regime for New Zealand financial benchmark administrators </w:t>
      </w:r>
      <w:r w:rsidR="00047A01" w:rsidRPr="000965A6">
        <w:rPr>
          <w:rFonts w:ascii="Arial" w:hAnsi="Arial" w:cs="Arial"/>
          <w:szCs w:val="24"/>
        </w:rPr>
        <w:t>under the Financial Markets Conduct Act 2013</w:t>
      </w:r>
      <w:r w:rsidR="00A417F2" w:rsidRPr="000965A6">
        <w:rPr>
          <w:rFonts w:ascii="Arial" w:hAnsi="Arial" w:cs="Arial"/>
          <w:szCs w:val="24"/>
        </w:rPr>
        <w:t xml:space="preserve">. </w:t>
      </w:r>
      <w:r w:rsidR="00A213B3" w:rsidRPr="000965A6">
        <w:rPr>
          <w:rFonts w:ascii="Arial" w:hAnsi="Arial" w:cs="Arial"/>
          <w:szCs w:val="24"/>
        </w:rPr>
        <w:t xml:space="preserve">This is </w:t>
      </w:r>
      <w:r w:rsidR="00D7293C" w:rsidRPr="000965A6">
        <w:rPr>
          <w:rFonts w:ascii="Arial" w:hAnsi="Arial" w:cs="Arial"/>
          <w:szCs w:val="24"/>
        </w:rPr>
        <w:t xml:space="preserve">necessary for New Zealand </w:t>
      </w:r>
      <w:r w:rsidR="00D94A62" w:rsidRPr="000965A6">
        <w:rPr>
          <w:rFonts w:ascii="Arial" w:hAnsi="Arial" w:cs="Arial"/>
          <w:szCs w:val="24"/>
        </w:rPr>
        <w:t xml:space="preserve">benchmarks </w:t>
      </w:r>
      <w:r w:rsidR="00D7293C" w:rsidRPr="000965A6">
        <w:rPr>
          <w:rFonts w:ascii="Arial" w:hAnsi="Arial" w:cs="Arial"/>
          <w:szCs w:val="24"/>
        </w:rPr>
        <w:t xml:space="preserve">to comply with European Union (EU) regulation of financial benchmarks and to avoid significant costs and risks to </w:t>
      </w:r>
      <w:r w:rsidR="003D7E8C" w:rsidRPr="000965A6">
        <w:rPr>
          <w:rFonts w:ascii="Arial" w:hAnsi="Arial" w:cs="Arial"/>
          <w:szCs w:val="24"/>
        </w:rPr>
        <w:t xml:space="preserve">our </w:t>
      </w:r>
      <w:r w:rsidR="00D7293C" w:rsidRPr="000965A6">
        <w:rPr>
          <w:rFonts w:ascii="Arial" w:hAnsi="Arial" w:cs="Arial"/>
          <w:szCs w:val="24"/>
        </w:rPr>
        <w:t>financial markets that would otherwise arise.</w:t>
      </w:r>
    </w:p>
    <w:p w:rsidR="00C82B53" w:rsidRPr="00F642C6" w:rsidRDefault="00C82B53" w:rsidP="00C82B53">
      <w:pPr>
        <w:pStyle w:val="CabStandard"/>
        <w:numPr>
          <w:ilvl w:val="0"/>
          <w:numId w:val="0"/>
        </w:numPr>
        <w:rPr>
          <w:rFonts w:ascii="Arial" w:hAnsi="Arial" w:cs="Arial"/>
          <w:b/>
          <w:szCs w:val="24"/>
        </w:rPr>
      </w:pPr>
      <w:bookmarkStart w:id="1" w:name="executive-summary"/>
      <w:bookmarkEnd w:id="1"/>
      <w:r w:rsidRPr="00F642C6">
        <w:rPr>
          <w:rFonts w:ascii="Arial" w:hAnsi="Arial" w:cs="Arial"/>
          <w:b/>
          <w:szCs w:val="24"/>
        </w:rPr>
        <w:t xml:space="preserve">Executive Summary </w:t>
      </w:r>
    </w:p>
    <w:p w:rsidR="00570B59" w:rsidRPr="00582D4B" w:rsidRDefault="001D51E4" w:rsidP="00773401">
      <w:pPr>
        <w:pStyle w:val="CabStandard"/>
        <w:tabs>
          <w:tab w:val="clear" w:pos="1004"/>
          <w:tab w:val="num" w:pos="720"/>
        </w:tabs>
        <w:ind w:left="720"/>
        <w:rPr>
          <w:rFonts w:ascii="Arial" w:hAnsi="Arial" w:cs="Arial"/>
          <w:szCs w:val="24"/>
        </w:rPr>
      </w:pPr>
      <w:r w:rsidRPr="00582D4B">
        <w:rPr>
          <w:rFonts w:ascii="Arial" w:hAnsi="Arial" w:cs="Arial"/>
          <w:szCs w:val="24"/>
        </w:rPr>
        <w:t>Financial benchmarks</w:t>
      </w:r>
      <w:r w:rsidR="00B07CFB">
        <w:rPr>
          <w:rFonts w:ascii="Arial" w:hAnsi="Arial" w:cs="Arial"/>
          <w:szCs w:val="24"/>
        </w:rPr>
        <w:t xml:space="preserve"> are </w:t>
      </w:r>
      <w:r w:rsidR="00706947">
        <w:rPr>
          <w:rFonts w:ascii="Arial" w:hAnsi="Arial" w:cs="Arial"/>
          <w:szCs w:val="24"/>
        </w:rPr>
        <w:t>figures or indexes</w:t>
      </w:r>
      <w:r w:rsidR="00723D2A">
        <w:rPr>
          <w:rFonts w:ascii="Arial" w:hAnsi="Arial" w:cs="Arial"/>
          <w:szCs w:val="24"/>
        </w:rPr>
        <w:t>, such as interest rates,</w:t>
      </w:r>
      <w:r w:rsidR="00B07CFB">
        <w:rPr>
          <w:rFonts w:ascii="Arial" w:hAnsi="Arial" w:cs="Arial"/>
          <w:szCs w:val="24"/>
        </w:rPr>
        <w:t xml:space="preserve"> that</w:t>
      </w:r>
      <w:r w:rsidRPr="00582D4B">
        <w:rPr>
          <w:rFonts w:ascii="Arial" w:hAnsi="Arial" w:cs="Arial"/>
          <w:szCs w:val="24"/>
        </w:rPr>
        <w:t xml:space="preserve"> are</w:t>
      </w:r>
      <w:r w:rsidR="00706947">
        <w:rPr>
          <w:rFonts w:ascii="Arial" w:hAnsi="Arial" w:cs="Arial"/>
          <w:szCs w:val="24"/>
        </w:rPr>
        <w:t xml:space="preserve"> referenced in financial products or contracts to</w:t>
      </w:r>
      <w:r w:rsidR="00EF4971" w:rsidRPr="00582D4B">
        <w:rPr>
          <w:rFonts w:ascii="Arial" w:hAnsi="Arial" w:cs="Arial"/>
          <w:szCs w:val="24"/>
        </w:rPr>
        <w:t xml:space="preserve"> </w:t>
      </w:r>
      <w:r w:rsidR="00200962">
        <w:rPr>
          <w:rFonts w:ascii="Arial" w:hAnsi="Arial" w:cs="Arial"/>
          <w:szCs w:val="24"/>
        </w:rPr>
        <w:t>set the price or determine the</w:t>
      </w:r>
      <w:r w:rsidR="00047A01" w:rsidRPr="00582D4B">
        <w:rPr>
          <w:rFonts w:ascii="Arial" w:hAnsi="Arial" w:cs="Arial"/>
          <w:szCs w:val="24"/>
        </w:rPr>
        <w:t xml:space="preserve"> value of </w:t>
      </w:r>
      <w:r w:rsidR="00706947">
        <w:rPr>
          <w:rFonts w:ascii="Arial" w:hAnsi="Arial" w:cs="Arial"/>
          <w:szCs w:val="24"/>
        </w:rPr>
        <w:t xml:space="preserve">those </w:t>
      </w:r>
      <w:r w:rsidR="00047A01" w:rsidRPr="00582D4B">
        <w:rPr>
          <w:rFonts w:ascii="Arial" w:hAnsi="Arial" w:cs="Arial"/>
          <w:szCs w:val="24"/>
        </w:rPr>
        <w:t xml:space="preserve">financial products. </w:t>
      </w:r>
      <w:r w:rsidR="0046317F">
        <w:rPr>
          <w:rFonts w:ascii="Arial" w:hAnsi="Arial" w:cs="Arial"/>
          <w:szCs w:val="24"/>
        </w:rPr>
        <w:t xml:space="preserve">They are </w:t>
      </w:r>
      <w:r w:rsidR="00570B59" w:rsidRPr="00582D4B">
        <w:rPr>
          <w:rFonts w:ascii="Arial" w:hAnsi="Arial" w:cs="Arial"/>
          <w:szCs w:val="24"/>
        </w:rPr>
        <w:t xml:space="preserve">critically important to </w:t>
      </w:r>
      <w:r w:rsidR="0046317F">
        <w:rPr>
          <w:rFonts w:ascii="Arial" w:hAnsi="Arial" w:cs="Arial"/>
          <w:szCs w:val="24"/>
        </w:rPr>
        <w:t>New Zealand</w:t>
      </w:r>
      <w:r w:rsidR="00FB0965">
        <w:rPr>
          <w:rFonts w:ascii="Arial" w:hAnsi="Arial" w:cs="Arial"/>
          <w:szCs w:val="24"/>
        </w:rPr>
        <w:t>’s</w:t>
      </w:r>
      <w:r w:rsidR="0046317F">
        <w:rPr>
          <w:rFonts w:ascii="Arial" w:hAnsi="Arial" w:cs="Arial"/>
          <w:szCs w:val="24"/>
        </w:rPr>
        <w:t xml:space="preserve"> and international </w:t>
      </w:r>
      <w:r w:rsidR="00570B59" w:rsidRPr="00582D4B">
        <w:rPr>
          <w:rFonts w:ascii="Arial" w:hAnsi="Arial" w:cs="Arial"/>
          <w:szCs w:val="24"/>
        </w:rPr>
        <w:t>financial markets and</w:t>
      </w:r>
      <w:r w:rsidR="00FB0965">
        <w:rPr>
          <w:rFonts w:ascii="Arial" w:hAnsi="Arial" w:cs="Arial"/>
          <w:szCs w:val="24"/>
        </w:rPr>
        <w:t>,</w:t>
      </w:r>
      <w:r w:rsidR="00570B59" w:rsidRPr="00582D4B">
        <w:rPr>
          <w:rFonts w:ascii="Arial" w:hAnsi="Arial" w:cs="Arial"/>
          <w:szCs w:val="24"/>
        </w:rPr>
        <w:t xml:space="preserve"> </w:t>
      </w:r>
      <w:r w:rsidR="0046317F">
        <w:rPr>
          <w:rFonts w:ascii="Arial" w:hAnsi="Arial" w:cs="Arial"/>
          <w:szCs w:val="24"/>
        </w:rPr>
        <w:t>by implication</w:t>
      </w:r>
      <w:r w:rsidR="00FB0965">
        <w:rPr>
          <w:rFonts w:ascii="Arial" w:hAnsi="Arial" w:cs="Arial"/>
          <w:szCs w:val="24"/>
        </w:rPr>
        <w:t>,</w:t>
      </w:r>
      <w:r w:rsidR="0046317F">
        <w:rPr>
          <w:rFonts w:ascii="Arial" w:hAnsi="Arial" w:cs="Arial"/>
          <w:szCs w:val="24"/>
        </w:rPr>
        <w:t xml:space="preserve"> to </w:t>
      </w:r>
      <w:r w:rsidR="00161BE7">
        <w:rPr>
          <w:rFonts w:ascii="Arial" w:hAnsi="Arial" w:cs="Arial"/>
          <w:szCs w:val="24"/>
        </w:rPr>
        <w:t xml:space="preserve">broader economic activities. </w:t>
      </w:r>
      <w:r w:rsidR="0046317F">
        <w:rPr>
          <w:rFonts w:ascii="Arial" w:hAnsi="Arial" w:cs="Arial"/>
          <w:szCs w:val="24"/>
        </w:rPr>
        <w:t xml:space="preserve">For example, financial benchmarks are </w:t>
      </w:r>
      <w:r w:rsidR="00A56DCB">
        <w:rPr>
          <w:rFonts w:ascii="Arial" w:hAnsi="Arial" w:cs="Arial"/>
          <w:szCs w:val="24"/>
        </w:rPr>
        <w:t>a key part of setting the price under derivatives</w:t>
      </w:r>
      <w:r w:rsidR="00FB0965">
        <w:rPr>
          <w:rFonts w:ascii="Arial" w:hAnsi="Arial" w:cs="Arial"/>
          <w:szCs w:val="24"/>
        </w:rPr>
        <w:t>, which are used by banks, financial institutions and public sector asset managers for risk management and investment purposes.</w:t>
      </w:r>
    </w:p>
    <w:p w:rsidR="0062740F" w:rsidRDefault="003A0AC5" w:rsidP="000B69EA">
      <w:pPr>
        <w:pStyle w:val="CabStandard"/>
        <w:tabs>
          <w:tab w:val="clear" w:pos="1004"/>
          <w:tab w:val="num" w:pos="720"/>
        </w:tabs>
        <w:ind w:left="720"/>
        <w:rPr>
          <w:rFonts w:ascii="Arial" w:hAnsi="Arial" w:cs="Arial"/>
          <w:szCs w:val="24"/>
        </w:rPr>
      </w:pPr>
      <w:r w:rsidRPr="000B69EA">
        <w:rPr>
          <w:rFonts w:ascii="Arial" w:hAnsi="Arial" w:cs="Arial"/>
          <w:szCs w:val="24"/>
        </w:rPr>
        <w:t xml:space="preserve">In June 2016, the </w:t>
      </w:r>
      <w:r w:rsidR="00B07CFB">
        <w:rPr>
          <w:rFonts w:ascii="Arial" w:hAnsi="Arial" w:cs="Arial"/>
          <w:szCs w:val="24"/>
        </w:rPr>
        <w:t>European Union (EU)</w:t>
      </w:r>
      <w:r w:rsidRPr="000B69EA">
        <w:rPr>
          <w:rFonts w:ascii="Arial" w:hAnsi="Arial" w:cs="Arial"/>
          <w:szCs w:val="24"/>
        </w:rPr>
        <w:t xml:space="preserve"> </w:t>
      </w:r>
      <w:r w:rsidR="00633110" w:rsidRPr="000B69EA">
        <w:rPr>
          <w:rFonts w:ascii="Arial" w:hAnsi="Arial" w:cs="Arial"/>
          <w:szCs w:val="24"/>
        </w:rPr>
        <w:t>responded</w:t>
      </w:r>
      <w:r w:rsidR="000B69EA">
        <w:rPr>
          <w:rFonts w:ascii="Arial" w:hAnsi="Arial" w:cs="Arial"/>
          <w:szCs w:val="24"/>
        </w:rPr>
        <w:t xml:space="preserve"> </w:t>
      </w:r>
      <w:r w:rsidR="00633110" w:rsidRPr="000B69EA">
        <w:rPr>
          <w:rFonts w:ascii="Arial" w:hAnsi="Arial" w:cs="Arial"/>
          <w:szCs w:val="24"/>
        </w:rPr>
        <w:t xml:space="preserve">to concerns </w:t>
      </w:r>
      <w:r w:rsidR="000B69EA" w:rsidRPr="000B69EA">
        <w:rPr>
          <w:rFonts w:ascii="Arial" w:hAnsi="Arial" w:cs="Arial"/>
          <w:szCs w:val="24"/>
        </w:rPr>
        <w:t xml:space="preserve">about conflicts of interest and </w:t>
      </w:r>
      <w:r w:rsidR="00B07CFB">
        <w:rPr>
          <w:rFonts w:ascii="Arial" w:hAnsi="Arial" w:cs="Arial"/>
          <w:szCs w:val="24"/>
        </w:rPr>
        <w:t xml:space="preserve">the </w:t>
      </w:r>
      <w:r w:rsidR="000B69EA" w:rsidRPr="000B69EA">
        <w:rPr>
          <w:rFonts w:ascii="Arial" w:hAnsi="Arial" w:cs="Arial"/>
          <w:szCs w:val="24"/>
        </w:rPr>
        <w:t xml:space="preserve">manipulation </w:t>
      </w:r>
      <w:r w:rsidR="00B07CFB">
        <w:rPr>
          <w:rFonts w:ascii="Arial" w:hAnsi="Arial" w:cs="Arial"/>
          <w:szCs w:val="24"/>
        </w:rPr>
        <w:t xml:space="preserve">of benchmarks </w:t>
      </w:r>
      <w:r w:rsidR="00633110" w:rsidRPr="000B69EA">
        <w:rPr>
          <w:rFonts w:ascii="Arial" w:hAnsi="Arial" w:cs="Arial"/>
          <w:szCs w:val="24"/>
        </w:rPr>
        <w:t xml:space="preserve">by publishing </w:t>
      </w:r>
      <w:r w:rsidRPr="000B69EA">
        <w:rPr>
          <w:rFonts w:ascii="Arial" w:hAnsi="Arial" w:cs="Arial"/>
          <w:szCs w:val="24"/>
        </w:rPr>
        <w:t>new regulations</w:t>
      </w:r>
      <w:r w:rsidR="00B07CFB">
        <w:rPr>
          <w:rFonts w:ascii="Arial" w:hAnsi="Arial" w:cs="Arial"/>
          <w:szCs w:val="24"/>
        </w:rPr>
        <w:t xml:space="preserve"> </w:t>
      </w:r>
      <w:r w:rsidR="00B07CFB">
        <w:rPr>
          <w:rFonts w:ascii="Arial" w:hAnsi="Arial" w:cs="Arial"/>
          <w:szCs w:val="24"/>
        </w:rPr>
        <w:lastRenderedPageBreak/>
        <w:t>relating to financial benchmarks</w:t>
      </w:r>
      <w:r w:rsidR="000B69EA">
        <w:rPr>
          <w:rFonts w:ascii="Arial" w:hAnsi="Arial" w:cs="Arial"/>
          <w:szCs w:val="24"/>
        </w:rPr>
        <w:t>.</w:t>
      </w:r>
      <w:r w:rsidR="00EF4971">
        <w:rPr>
          <w:rFonts w:ascii="Arial" w:hAnsi="Arial" w:cs="Arial"/>
          <w:szCs w:val="24"/>
        </w:rPr>
        <w:t xml:space="preserve"> </w:t>
      </w:r>
      <w:r w:rsidR="00DB6DDB">
        <w:rPr>
          <w:rFonts w:ascii="Arial" w:hAnsi="Arial" w:cs="Arial"/>
          <w:szCs w:val="24"/>
        </w:rPr>
        <w:t xml:space="preserve">One example of such </w:t>
      </w:r>
      <w:r w:rsidR="00925C17">
        <w:rPr>
          <w:rFonts w:ascii="Arial" w:hAnsi="Arial" w:cs="Arial"/>
          <w:szCs w:val="24"/>
        </w:rPr>
        <w:t xml:space="preserve">an </w:t>
      </w:r>
      <w:r w:rsidR="00A56DCB">
        <w:rPr>
          <w:rFonts w:ascii="Arial" w:hAnsi="Arial" w:cs="Arial"/>
          <w:szCs w:val="24"/>
        </w:rPr>
        <w:t>issue</w:t>
      </w:r>
      <w:r w:rsidR="00DB6DDB">
        <w:rPr>
          <w:rFonts w:ascii="Arial" w:hAnsi="Arial" w:cs="Arial"/>
          <w:szCs w:val="24"/>
        </w:rPr>
        <w:t xml:space="preserve"> was t</w:t>
      </w:r>
      <w:r w:rsidR="00570B59" w:rsidRPr="00D10047">
        <w:rPr>
          <w:rFonts w:ascii="Arial" w:hAnsi="Arial" w:cs="Arial"/>
          <w:szCs w:val="24"/>
        </w:rPr>
        <w:t xml:space="preserve">he </w:t>
      </w:r>
      <w:r w:rsidR="00570B59">
        <w:rPr>
          <w:rFonts w:ascii="Arial" w:hAnsi="Arial" w:cs="Arial"/>
          <w:szCs w:val="24"/>
        </w:rPr>
        <w:t xml:space="preserve">2012 </w:t>
      </w:r>
      <w:r w:rsidR="00570B59" w:rsidRPr="00D10047">
        <w:rPr>
          <w:rFonts w:ascii="Arial" w:hAnsi="Arial" w:cs="Arial"/>
          <w:szCs w:val="24"/>
        </w:rPr>
        <w:t>London Interbank Offered Rate (LIBOR) scandal</w:t>
      </w:r>
      <w:r w:rsidR="00B07CFB">
        <w:rPr>
          <w:rFonts w:ascii="Arial" w:hAnsi="Arial" w:cs="Arial"/>
          <w:szCs w:val="24"/>
        </w:rPr>
        <w:t xml:space="preserve">. </w:t>
      </w:r>
      <w:r w:rsidR="00DA78EB">
        <w:rPr>
          <w:rFonts w:ascii="Arial" w:hAnsi="Arial" w:cs="Arial"/>
          <w:szCs w:val="24"/>
        </w:rPr>
        <w:t>This involved</w:t>
      </w:r>
      <w:r w:rsidR="00DB6DDB">
        <w:rPr>
          <w:rFonts w:ascii="Arial" w:hAnsi="Arial" w:cs="Arial"/>
          <w:szCs w:val="24"/>
        </w:rPr>
        <w:t xml:space="preserve"> </w:t>
      </w:r>
      <w:r w:rsidR="00570B59" w:rsidRPr="00D10047">
        <w:rPr>
          <w:rFonts w:ascii="Arial" w:hAnsi="Arial" w:cs="Arial"/>
          <w:szCs w:val="24"/>
        </w:rPr>
        <w:t xml:space="preserve">banks </w:t>
      </w:r>
      <w:r w:rsidR="00DB6DDB">
        <w:rPr>
          <w:rFonts w:ascii="Arial" w:hAnsi="Arial" w:cs="Arial"/>
          <w:szCs w:val="24"/>
        </w:rPr>
        <w:t xml:space="preserve">colluding and </w:t>
      </w:r>
      <w:r w:rsidR="00570B59" w:rsidRPr="00D10047">
        <w:rPr>
          <w:rFonts w:ascii="Arial" w:hAnsi="Arial" w:cs="Arial"/>
          <w:szCs w:val="24"/>
        </w:rPr>
        <w:t xml:space="preserve">falsely inflating or deflating the </w:t>
      </w:r>
      <w:r w:rsidR="00DA78EB">
        <w:rPr>
          <w:rFonts w:ascii="Arial" w:hAnsi="Arial" w:cs="Arial"/>
          <w:szCs w:val="24"/>
        </w:rPr>
        <w:t xml:space="preserve">interest </w:t>
      </w:r>
      <w:r w:rsidR="00570B59" w:rsidRPr="00D10047">
        <w:rPr>
          <w:rFonts w:ascii="Arial" w:hAnsi="Arial" w:cs="Arial"/>
          <w:szCs w:val="24"/>
        </w:rPr>
        <w:t>rates</w:t>
      </w:r>
      <w:r w:rsidR="00DA78EB">
        <w:rPr>
          <w:rFonts w:ascii="Arial" w:hAnsi="Arial" w:cs="Arial"/>
          <w:szCs w:val="24"/>
        </w:rPr>
        <w:t xml:space="preserve"> they each submitted for benchmarking purposes, so they could </w:t>
      </w:r>
      <w:r w:rsidR="00570B59" w:rsidRPr="00D10047">
        <w:rPr>
          <w:rFonts w:ascii="Arial" w:hAnsi="Arial" w:cs="Arial"/>
          <w:szCs w:val="24"/>
        </w:rPr>
        <w:t>profit from trades or give the impression that they were more creditworthy than they were.</w:t>
      </w:r>
      <w:r w:rsidR="00200962">
        <w:rPr>
          <w:rFonts w:ascii="Arial" w:hAnsi="Arial" w:cs="Arial"/>
          <w:szCs w:val="24"/>
        </w:rPr>
        <w:t xml:space="preserve"> </w:t>
      </w:r>
    </w:p>
    <w:p w:rsidR="00A56DCB" w:rsidRDefault="00200962" w:rsidP="0062740F">
      <w:pPr>
        <w:pStyle w:val="CabStandard"/>
        <w:tabs>
          <w:tab w:val="clear" w:pos="1004"/>
          <w:tab w:val="num" w:pos="720"/>
        </w:tabs>
        <w:ind w:left="720"/>
        <w:rPr>
          <w:rFonts w:ascii="Arial" w:hAnsi="Arial" w:cs="Arial"/>
          <w:szCs w:val="24"/>
        </w:rPr>
      </w:pPr>
      <w:r w:rsidRPr="0062740F">
        <w:rPr>
          <w:rFonts w:ascii="Arial" w:hAnsi="Arial" w:cs="Arial"/>
          <w:szCs w:val="24"/>
        </w:rPr>
        <w:t>The new EU regulations set standards around the process</w:t>
      </w:r>
      <w:r w:rsidR="00B07CFB">
        <w:rPr>
          <w:rFonts w:ascii="Arial" w:hAnsi="Arial" w:cs="Arial"/>
          <w:szCs w:val="24"/>
        </w:rPr>
        <w:t xml:space="preserve">es by which benchmarks are set. The regulations </w:t>
      </w:r>
      <w:r w:rsidR="00394F0D">
        <w:rPr>
          <w:rFonts w:ascii="Arial" w:hAnsi="Arial" w:cs="Arial"/>
          <w:szCs w:val="24"/>
        </w:rPr>
        <w:t>have effect outside the EU as</w:t>
      </w:r>
      <w:r w:rsidR="00B07CFB">
        <w:rPr>
          <w:rFonts w:ascii="Arial" w:hAnsi="Arial" w:cs="Arial"/>
          <w:szCs w:val="24"/>
        </w:rPr>
        <w:t xml:space="preserve"> b</w:t>
      </w:r>
      <w:r w:rsidR="00E9568E" w:rsidRPr="0062740F">
        <w:rPr>
          <w:rFonts w:ascii="Arial" w:hAnsi="Arial" w:cs="Arial"/>
          <w:szCs w:val="24"/>
        </w:rPr>
        <w:t xml:space="preserve">enchmark </w:t>
      </w:r>
      <w:r w:rsidRPr="0062740F">
        <w:rPr>
          <w:rFonts w:ascii="Arial" w:hAnsi="Arial" w:cs="Arial"/>
          <w:szCs w:val="24"/>
        </w:rPr>
        <w:t xml:space="preserve">administrators </w:t>
      </w:r>
      <w:r w:rsidR="00B07CFB">
        <w:rPr>
          <w:rFonts w:ascii="Arial" w:hAnsi="Arial" w:cs="Arial"/>
          <w:szCs w:val="24"/>
        </w:rPr>
        <w:t xml:space="preserve">in foreign jurisdictions </w:t>
      </w:r>
      <w:r w:rsidR="0062740F" w:rsidRPr="0062740F">
        <w:rPr>
          <w:rFonts w:ascii="Arial" w:hAnsi="Arial" w:cs="Arial"/>
          <w:szCs w:val="24"/>
        </w:rPr>
        <w:t>must</w:t>
      </w:r>
      <w:r w:rsidRPr="0062740F">
        <w:rPr>
          <w:rFonts w:ascii="Arial" w:hAnsi="Arial" w:cs="Arial"/>
          <w:szCs w:val="24"/>
        </w:rPr>
        <w:t xml:space="preserve"> meet </w:t>
      </w:r>
      <w:r w:rsidR="00B07CFB">
        <w:rPr>
          <w:rFonts w:ascii="Arial" w:hAnsi="Arial" w:cs="Arial"/>
          <w:szCs w:val="24"/>
        </w:rPr>
        <w:t xml:space="preserve">these new standards </w:t>
      </w:r>
      <w:r w:rsidRPr="0062740F">
        <w:rPr>
          <w:rFonts w:ascii="Arial" w:hAnsi="Arial" w:cs="Arial"/>
          <w:szCs w:val="24"/>
        </w:rPr>
        <w:t xml:space="preserve">if </w:t>
      </w:r>
      <w:r w:rsidR="00E9568E" w:rsidRPr="0062740F">
        <w:rPr>
          <w:rFonts w:ascii="Arial" w:hAnsi="Arial" w:cs="Arial"/>
          <w:szCs w:val="24"/>
        </w:rPr>
        <w:t>the benchmarks they set</w:t>
      </w:r>
      <w:r w:rsidRPr="0062740F">
        <w:rPr>
          <w:rFonts w:ascii="Arial" w:hAnsi="Arial" w:cs="Arial"/>
          <w:szCs w:val="24"/>
        </w:rPr>
        <w:t xml:space="preserve"> </w:t>
      </w:r>
      <w:r w:rsidR="0046317F">
        <w:rPr>
          <w:rFonts w:ascii="Arial" w:hAnsi="Arial" w:cs="Arial"/>
          <w:szCs w:val="24"/>
        </w:rPr>
        <w:t>can</w:t>
      </w:r>
      <w:r w:rsidR="00D36D8C" w:rsidRPr="0062740F">
        <w:rPr>
          <w:rFonts w:ascii="Arial" w:hAnsi="Arial" w:cs="Arial"/>
          <w:szCs w:val="24"/>
        </w:rPr>
        <w:t xml:space="preserve"> be </w:t>
      </w:r>
      <w:r w:rsidR="0046317F">
        <w:rPr>
          <w:rFonts w:ascii="Arial" w:hAnsi="Arial" w:cs="Arial"/>
          <w:szCs w:val="24"/>
        </w:rPr>
        <w:t xml:space="preserve">used in </w:t>
      </w:r>
      <w:r w:rsidR="008601C2">
        <w:rPr>
          <w:rFonts w:ascii="Arial" w:hAnsi="Arial" w:cs="Arial"/>
          <w:szCs w:val="24"/>
        </w:rPr>
        <w:t xml:space="preserve">financial </w:t>
      </w:r>
      <w:r w:rsidR="0046317F">
        <w:rPr>
          <w:rFonts w:ascii="Arial" w:hAnsi="Arial" w:cs="Arial"/>
          <w:szCs w:val="24"/>
        </w:rPr>
        <w:t xml:space="preserve">contracts with parties </w:t>
      </w:r>
      <w:r w:rsidR="00A56DCB">
        <w:rPr>
          <w:rFonts w:ascii="Arial" w:hAnsi="Arial" w:cs="Arial"/>
          <w:szCs w:val="24"/>
        </w:rPr>
        <w:t>located in</w:t>
      </w:r>
      <w:r w:rsidR="0046317F">
        <w:rPr>
          <w:rFonts w:ascii="Arial" w:hAnsi="Arial" w:cs="Arial"/>
          <w:szCs w:val="24"/>
        </w:rPr>
        <w:t xml:space="preserve"> the EU</w:t>
      </w:r>
      <w:r w:rsidRPr="0062740F">
        <w:rPr>
          <w:rFonts w:ascii="Arial" w:hAnsi="Arial" w:cs="Arial"/>
          <w:szCs w:val="24"/>
        </w:rPr>
        <w:t xml:space="preserve">. </w:t>
      </w:r>
    </w:p>
    <w:p w:rsidR="00BD6B30" w:rsidRPr="00A56DCB" w:rsidRDefault="00633110" w:rsidP="0062740F">
      <w:pPr>
        <w:pStyle w:val="CabStandard"/>
        <w:tabs>
          <w:tab w:val="clear" w:pos="1004"/>
          <w:tab w:val="num" w:pos="720"/>
        </w:tabs>
        <w:ind w:left="720"/>
        <w:rPr>
          <w:rFonts w:ascii="Arial" w:hAnsi="Arial" w:cs="Arial"/>
          <w:szCs w:val="24"/>
        </w:rPr>
      </w:pPr>
      <w:r w:rsidRPr="00A56DCB">
        <w:rPr>
          <w:rFonts w:ascii="Arial" w:hAnsi="Arial" w:cs="Arial"/>
          <w:szCs w:val="24"/>
        </w:rPr>
        <w:t xml:space="preserve">The EU regulations, which </w:t>
      </w:r>
      <w:r w:rsidR="00FD3F91" w:rsidRPr="00A56DCB">
        <w:rPr>
          <w:rFonts w:ascii="Arial" w:hAnsi="Arial" w:cs="Arial"/>
          <w:szCs w:val="24"/>
        </w:rPr>
        <w:t xml:space="preserve">take full effect on 1 January 2020, </w:t>
      </w:r>
      <w:r w:rsidR="00200962" w:rsidRPr="00A56DCB">
        <w:rPr>
          <w:rFonts w:ascii="Arial" w:hAnsi="Arial" w:cs="Arial"/>
          <w:szCs w:val="24"/>
        </w:rPr>
        <w:t>have significant implications</w:t>
      </w:r>
      <w:r w:rsidR="00200962" w:rsidRPr="00A56DCB" w:rsidDel="00200962">
        <w:rPr>
          <w:rFonts w:ascii="Arial" w:hAnsi="Arial" w:cs="Arial"/>
          <w:szCs w:val="24"/>
        </w:rPr>
        <w:t xml:space="preserve"> </w:t>
      </w:r>
      <w:r w:rsidR="004A5A0B" w:rsidRPr="00A56DCB">
        <w:rPr>
          <w:rFonts w:ascii="Arial" w:hAnsi="Arial" w:cs="Arial"/>
          <w:szCs w:val="24"/>
        </w:rPr>
        <w:t>for</w:t>
      </w:r>
      <w:r w:rsidRPr="00A56DCB">
        <w:rPr>
          <w:rFonts w:ascii="Arial" w:hAnsi="Arial" w:cs="Arial"/>
          <w:szCs w:val="24"/>
        </w:rPr>
        <w:t xml:space="preserve"> </w:t>
      </w:r>
      <w:r w:rsidR="00EF4971" w:rsidRPr="00A56DCB">
        <w:rPr>
          <w:rFonts w:ascii="Arial" w:hAnsi="Arial" w:cs="Arial"/>
          <w:szCs w:val="24"/>
        </w:rPr>
        <w:t>New Zealand</w:t>
      </w:r>
      <w:r w:rsidR="00221668" w:rsidRPr="00A56DCB">
        <w:rPr>
          <w:rFonts w:ascii="Arial" w:hAnsi="Arial" w:cs="Arial"/>
          <w:szCs w:val="24"/>
        </w:rPr>
        <w:t xml:space="preserve">. </w:t>
      </w:r>
      <w:r w:rsidR="00162AAC" w:rsidRPr="00A56DCB">
        <w:rPr>
          <w:rFonts w:ascii="Arial" w:hAnsi="Arial" w:cs="Arial"/>
          <w:szCs w:val="24"/>
        </w:rPr>
        <w:t>Unless</w:t>
      </w:r>
      <w:r w:rsidR="00221668" w:rsidRPr="00A56DCB">
        <w:rPr>
          <w:rFonts w:ascii="Arial" w:hAnsi="Arial" w:cs="Arial"/>
          <w:szCs w:val="24"/>
        </w:rPr>
        <w:t xml:space="preserve"> </w:t>
      </w:r>
      <w:r w:rsidR="00CD1C14" w:rsidRPr="00A56DCB">
        <w:rPr>
          <w:rFonts w:ascii="Arial" w:hAnsi="Arial" w:cs="Arial"/>
          <w:szCs w:val="24"/>
        </w:rPr>
        <w:t xml:space="preserve">our regulatory regime and </w:t>
      </w:r>
      <w:r w:rsidR="00221668" w:rsidRPr="00A56DCB">
        <w:rPr>
          <w:rFonts w:ascii="Arial" w:hAnsi="Arial" w:cs="Arial"/>
          <w:szCs w:val="24"/>
        </w:rPr>
        <w:t>the administrator of New Zealand benchmarks</w:t>
      </w:r>
      <w:r w:rsidR="00E9568E" w:rsidRPr="00A56DCB">
        <w:rPr>
          <w:rFonts w:ascii="Arial" w:hAnsi="Arial" w:cs="Arial"/>
          <w:szCs w:val="24"/>
        </w:rPr>
        <w:t>,</w:t>
      </w:r>
      <w:r w:rsidR="00221668" w:rsidRPr="00A56DCB">
        <w:rPr>
          <w:rFonts w:ascii="Arial" w:hAnsi="Arial" w:cs="Arial"/>
          <w:szCs w:val="24"/>
        </w:rPr>
        <w:t xml:space="preserve"> </w:t>
      </w:r>
      <w:r w:rsidR="00D36D8C" w:rsidRPr="00A56DCB">
        <w:rPr>
          <w:rFonts w:ascii="Arial" w:hAnsi="Arial" w:cs="Arial"/>
          <w:szCs w:val="24"/>
        </w:rPr>
        <w:t xml:space="preserve">the New Zealand Financial Markets </w:t>
      </w:r>
      <w:r w:rsidR="0062740F" w:rsidRPr="00A56DCB">
        <w:rPr>
          <w:rFonts w:ascii="Arial" w:hAnsi="Arial" w:cs="Arial"/>
          <w:szCs w:val="24"/>
        </w:rPr>
        <w:t>Association</w:t>
      </w:r>
      <w:r w:rsidR="00B07CFB" w:rsidRPr="00A56DCB">
        <w:rPr>
          <w:rFonts w:ascii="Arial" w:hAnsi="Arial" w:cs="Arial"/>
          <w:szCs w:val="24"/>
        </w:rPr>
        <w:t xml:space="preserve"> (NZFMA)</w:t>
      </w:r>
      <w:r w:rsidR="00E9568E" w:rsidRPr="00A56DCB">
        <w:rPr>
          <w:rFonts w:ascii="Arial" w:hAnsi="Arial" w:cs="Arial"/>
          <w:szCs w:val="24"/>
        </w:rPr>
        <w:t>,</w:t>
      </w:r>
      <w:r w:rsidR="00221668" w:rsidRPr="00A56DCB">
        <w:rPr>
          <w:rFonts w:ascii="Arial" w:hAnsi="Arial" w:cs="Arial"/>
          <w:szCs w:val="24"/>
        </w:rPr>
        <w:t xml:space="preserve"> meet the standards set in the EU regulations, New Zealand benchmarks will not be </w:t>
      </w:r>
      <w:r w:rsidR="002205A8">
        <w:rPr>
          <w:rFonts w:ascii="Arial" w:hAnsi="Arial" w:cs="Arial"/>
          <w:szCs w:val="24"/>
        </w:rPr>
        <w:t>able to be used</w:t>
      </w:r>
      <w:r w:rsidR="00221668" w:rsidRPr="00A56DCB">
        <w:rPr>
          <w:rFonts w:ascii="Arial" w:hAnsi="Arial" w:cs="Arial"/>
          <w:szCs w:val="24"/>
        </w:rPr>
        <w:t xml:space="preserve"> </w:t>
      </w:r>
      <w:r w:rsidR="002205A8">
        <w:rPr>
          <w:rFonts w:ascii="Arial" w:hAnsi="Arial" w:cs="Arial"/>
          <w:szCs w:val="24"/>
        </w:rPr>
        <w:t>in critical financial contracts</w:t>
      </w:r>
      <w:r w:rsidR="003B00D0">
        <w:rPr>
          <w:rFonts w:ascii="Arial" w:hAnsi="Arial" w:cs="Arial"/>
          <w:szCs w:val="24"/>
        </w:rPr>
        <w:t xml:space="preserve"> with EU parties</w:t>
      </w:r>
      <w:r w:rsidR="00221668" w:rsidRPr="00A56DCB">
        <w:rPr>
          <w:rFonts w:ascii="Arial" w:hAnsi="Arial" w:cs="Arial"/>
          <w:szCs w:val="24"/>
        </w:rPr>
        <w:t>.</w:t>
      </w:r>
      <w:r w:rsidR="00EF4971" w:rsidRPr="00A56DCB">
        <w:rPr>
          <w:rFonts w:ascii="Arial" w:hAnsi="Arial" w:cs="Arial"/>
          <w:szCs w:val="24"/>
        </w:rPr>
        <w:t xml:space="preserve"> </w:t>
      </w:r>
    </w:p>
    <w:p w:rsidR="00B07F93" w:rsidRPr="00022281" w:rsidRDefault="00221668" w:rsidP="00022281">
      <w:pPr>
        <w:pStyle w:val="CabStandard"/>
        <w:tabs>
          <w:tab w:val="clear" w:pos="1004"/>
          <w:tab w:val="num" w:pos="720"/>
        </w:tabs>
        <w:ind w:left="720"/>
        <w:rPr>
          <w:rFonts w:ascii="Arial" w:hAnsi="Arial" w:cs="Arial"/>
          <w:szCs w:val="24"/>
        </w:rPr>
      </w:pPr>
      <w:r w:rsidRPr="00022281">
        <w:rPr>
          <w:rFonts w:ascii="Arial" w:hAnsi="Arial" w:cs="Arial"/>
          <w:szCs w:val="24"/>
        </w:rPr>
        <w:t xml:space="preserve">This could mean that </w:t>
      </w:r>
      <w:r w:rsidR="003E3A22" w:rsidRPr="00022281">
        <w:rPr>
          <w:rFonts w:ascii="Arial" w:hAnsi="Arial" w:cs="Arial"/>
          <w:szCs w:val="24"/>
        </w:rPr>
        <w:t xml:space="preserve">banks and other benchmark users </w:t>
      </w:r>
      <w:r w:rsidR="00D2054B" w:rsidRPr="00022281">
        <w:rPr>
          <w:rFonts w:ascii="Arial" w:hAnsi="Arial" w:cs="Arial"/>
          <w:szCs w:val="24"/>
        </w:rPr>
        <w:t>(</w:t>
      </w:r>
      <w:r w:rsidR="003E3A22" w:rsidRPr="00022281">
        <w:rPr>
          <w:rFonts w:ascii="Arial" w:hAnsi="Arial" w:cs="Arial"/>
          <w:szCs w:val="24"/>
        </w:rPr>
        <w:t xml:space="preserve">including the ACC, New Zealand </w:t>
      </w:r>
      <w:r w:rsidR="00D2054B" w:rsidRPr="00022281">
        <w:rPr>
          <w:rFonts w:ascii="Arial" w:hAnsi="Arial" w:cs="Arial"/>
          <w:szCs w:val="24"/>
        </w:rPr>
        <w:t xml:space="preserve">Super Fund and New Zealand Debt Management Office) </w:t>
      </w:r>
      <w:r w:rsidR="00DA78EB" w:rsidRPr="00022281">
        <w:rPr>
          <w:rFonts w:ascii="Arial" w:hAnsi="Arial" w:cs="Arial"/>
          <w:szCs w:val="24"/>
        </w:rPr>
        <w:t>w</w:t>
      </w:r>
      <w:r w:rsidRPr="00022281">
        <w:rPr>
          <w:rFonts w:ascii="Arial" w:hAnsi="Arial" w:cs="Arial"/>
          <w:szCs w:val="24"/>
        </w:rPr>
        <w:t xml:space="preserve">ould </w:t>
      </w:r>
      <w:r w:rsidR="008F6FFB" w:rsidRPr="00022281">
        <w:rPr>
          <w:rFonts w:ascii="Arial" w:hAnsi="Arial" w:cs="Arial"/>
          <w:szCs w:val="24"/>
        </w:rPr>
        <w:t xml:space="preserve">no longer be able to transact with these </w:t>
      </w:r>
      <w:r w:rsidR="00FD3F91" w:rsidRPr="00022281">
        <w:rPr>
          <w:rFonts w:ascii="Arial" w:hAnsi="Arial" w:cs="Arial"/>
          <w:szCs w:val="24"/>
        </w:rPr>
        <w:t xml:space="preserve">EU </w:t>
      </w:r>
      <w:r w:rsidR="008E05F1" w:rsidRPr="00022281">
        <w:rPr>
          <w:rFonts w:ascii="Arial" w:hAnsi="Arial" w:cs="Arial"/>
          <w:szCs w:val="24"/>
        </w:rPr>
        <w:t xml:space="preserve">counterparties </w:t>
      </w:r>
      <w:r w:rsidR="008F6FFB" w:rsidRPr="00022281">
        <w:rPr>
          <w:rFonts w:ascii="Arial" w:hAnsi="Arial" w:cs="Arial"/>
          <w:szCs w:val="24"/>
        </w:rPr>
        <w:t xml:space="preserve">in critical derivatives transactions. </w:t>
      </w:r>
      <w:r w:rsidR="00210E4C" w:rsidRPr="00022281">
        <w:rPr>
          <w:rFonts w:ascii="Arial" w:hAnsi="Arial" w:cs="Arial"/>
          <w:szCs w:val="24"/>
        </w:rPr>
        <w:t xml:space="preserve">Non-acceptance of New Zealand benchmarks in the EU would also have broader implications </w:t>
      </w:r>
      <w:r w:rsidR="006174A3">
        <w:rPr>
          <w:rFonts w:ascii="Arial" w:hAnsi="Arial" w:cs="Arial"/>
          <w:szCs w:val="24"/>
        </w:rPr>
        <w:t>for</w:t>
      </w:r>
      <w:r w:rsidR="00210E4C" w:rsidRPr="00022281">
        <w:rPr>
          <w:rFonts w:ascii="Arial" w:hAnsi="Arial" w:cs="Arial"/>
          <w:szCs w:val="24"/>
        </w:rPr>
        <w:t xml:space="preserve"> New Zealand’s capital markets, </w:t>
      </w:r>
      <w:r w:rsidR="00022281" w:rsidRPr="00022281">
        <w:rPr>
          <w:rFonts w:ascii="Arial" w:hAnsi="Arial" w:cs="Arial"/>
          <w:szCs w:val="24"/>
        </w:rPr>
        <w:t>as New Zealand benchmarks are also used by EU entities in other important New Zealand dollar financial product markets.</w:t>
      </w:r>
    </w:p>
    <w:p w:rsidR="00FD3F91" w:rsidRPr="00A134EE" w:rsidRDefault="008B56FA" w:rsidP="00A134EE">
      <w:pPr>
        <w:pStyle w:val="CabStandard"/>
        <w:tabs>
          <w:tab w:val="clear" w:pos="1004"/>
          <w:tab w:val="num" w:pos="720"/>
        </w:tabs>
        <w:ind w:left="720"/>
        <w:rPr>
          <w:rFonts w:ascii="Arial" w:hAnsi="Arial" w:cs="Arial"/>
          <w:szCs w:val="24"/>
        </w:rPr>
      </w:pPr>
      <w:r>
        <w:rPr>
          <w:rFonts w:ascii="Arial" w:hAnsi="Arial" w:cs="Arial"/>
          <w:szCs w:val="24"/>
        </w:rPr>
        <w:t>To illustrate the potential impact of the EU regulations</w:t>
      </w:r>
      <w:r w:rsidR="00444676" w:rsidRPr="00A134EE">
        <w:rPr>
          <w:rFonts w:ascii="Arial" w:hAnsi="Arial" w:cs="Arial"/>
          <w:szCs w:val="24"/>
        </w:rPr>
        <w:t xml:space="preserve">, </w:t>
      </w:r>
      <w:r w:rsidR="00A134EE">
        <w:rPr>
          <w:rFonts w:ascii="Arial" w:hAnsi="Arial" w:cs="Arial"/>
          <w:szCs w:val="24"/>
        </w:rPr>
        <w:t>the</w:t>
      </w:r>
      <w:r w:rsidR="00001E89" w:rsidRPr="00A134EE">
        <w:rPr>
          <w:rFonts w:ascii="Arial" w:hAnsi="Arial" w:cs="Arial"/>
          <w:szCs w:val="24"/>
        </w:rPr>
        <w:t xml:space="preserve"> </w:t>
      </w:r>
      <w:r w:rsidR="00444676" w:rsidRPr="00A134EE">
        <w:rPr>
          <w:rFonts w:ascii="Arial" w:hAnsi="Arial" w:cs="Arial"/>
          <w:szCs w:val="24"/>
        </w:rPr>
        <w:t xml:space="preserve">big four </w:t>
      </w:r>
      <w:r w:rsidR="00A134EE">
        <w:rPr>
          <w:rFonts w:ascii="Arial" w:hAnsi="Arial" w:cs="Arial"/>
          <w:szCs w:val="24"/>
        </w:rPr>
        <w:t xml:space="preserve">New Zealand </w:t>
      </w:r>
      <w:r w:rsidR="00001E89" w:rsidRPr="00A134EE">
        <w:rPr>
          <w:rFonts w:ascii="Arial" w:hAnsi="Arial" w:cs="Arial"/>
          <w:szCs w:val="24"/>
        </w:rPr>
        <w:t xml:space="preserve">banks </w:t>
      </w:r>
      <w:r w:rsidR="00A134EE" w:rsidRPr="00A134EE">
        <w:rPr>
          <w:rFonts w:ascii="Arial" w:hAnsi="Arial" w:cs="Arial"/>
          <w:szCs w:val="24"/>
        </w:rPr>
        <w:t xml:space="preserve">alone </w:t>
      </w:r>
      <w:r w:rsidR="00444676" w:rsidRPr="00A134EE">
        <w:rPr>
          <w:rFonts w:ascii="Arial" w:hAnsi="Arial" w:cs="Arial"/>
          <w:szCs w:val="24"/>
        </w:rPr>
        <w:t>currently have around $</w:t>
      </w:r>
      <w:r w:rsidR="00A134EE" w:rsidRPr="00A134EE">
        <w:rPr>
          <w:rFonts w:ascii="Arial" w:hAnsi="Arial" w:cs="Arial"/>
          <w:szCs w:val="24"/>
        </w:rPr>
        <w:t>1.1</w:t>
      </w:r>
      <w:r w:rsidR="00616D64" w:rsidRPr="00A134EE">
        <w:rPr>
          <w:rFonts w:ascii="Arial" w:hAnsi="Arial" w:cs="Arial"/>
          <w:szCs w:val="24"/>
        </w:rPr>
        <w:t xml:space="preserve"> </w:t>
      </w:r>
      <w:r w:rsidR="00A134EE" w:rsidRPr="00A134EE">
        <w:rPr>
          <w:rFonts w:ascii="Arial" w:hAnsi="Arial" w:cs="Arial"/>
          <w:szCs w:val="24"/>
        </w:rPr>
        <w:t xml:space="preserve">trillion exposed to EU counterparties, through their own requirements and those of their clients, in financial </w:t>
      </w:r>
      <w:r w:rsidR="00A134EE" w:rsidRPr="00A134EE">
        <w:rPr>
          <w:rFonts w:ascii="Arial" w:hAnsi="Arial" w:cs="Arial"/>
          <w:szCs w:val="24"/>
        </w:rPr>
        <w:lastRenderedPageBreak/>
        <w:t>instruments that reference a key New Zealand benchmark (the Bank Bill Benchmark Rate (BKBM)). If these banks were no longer able to transact with EU counterparties, they would have to find alternative counterparties for this activity. This would lead to an overall incre</w:t>
      </w:r>
      <w:r w:rsidR="00A134EE">
        <w:rPr>
          <w:rFonts w:ascii="Arial" w:hAnsi="Arial" w:cs="Arial"/>
          <w:szCs w:val="24"/>
        </w:rPr>
        <w:t>ase in banks’ costs of funding</w:t>
      </w:r>
      <w:r w:rsidR="006E6089">
        <w:rPr>
          <w:rFonts w:ascii="Arial" w:hAnsi="Arial" w:cs="Arial"/>
          <w:szCs w:val="24"/>
        </w:rPr>
        <w:t xml:space="preserve"> on this activity</w:t>
      </w:r>
      <w:r w:rsidR="00A134EE">
        <w:rPr>
          <w:rFonts w:ascii="Arial" w:hAnsi="Arial" w:cs="Arial"/>
          <w:szCs w:val="24"/>
        </w:rPr>
        <w:t>, which b</w:t>
      </w:r>
      <w:r w:rsidR="00A134EE" w:rsidRPr="00A134EE">
        <w:rPr>
          <w:rFonts w:ascii="Arial" w:hAnsi="Arial" w:cs="Arial"/>
          <w:szCs w:val="24"/>
        </w:rPr>
        <w:t>anks would</w:t>
      </w:r>
      <w:r w:rsidR="003E3A22">
        <w:rPr>
          <w:rFonts w:ascii="Arial" w:hAnsi="Arial" w:cs="Arial"/>
          <w:szCs w:val="24"/>
        </w:rPr>
        <w:t xml:space="preserve"> pass</w:t>
      </w:r>
      <w:r w:rsidR="00A134EE" w:rsidRPr="00A134EE">
        <w:rPr>
          <w:rFonts w:ascii="Arial" w:hAnsi="Arial" w:cs="Arial"/>
          <w:szCs w:val="24"/>
        </w:rPr>
        <w:t xml:space="preserve"> on to New Zealand customers in the form of increased borrowing costs.</w:t>
      </w:r>
      <w:r w:rsidR="00B62DF7">
        <w:rPr>
          <w:rFonts w:ascii="Arial" w:hAnsi="Arial" w:cs="Arial"/>
          <w:szCs w:val="24"/>
        </w:rPr>
        <w:t xml:space="preserve"> </w:t>
      </w:r>
      <w:r w:rsidR="0091606B">
        <w:rPr>
          <w:rFonts w:ascii="Arial" w:hAnsi="Arial" w:cs="Arial"/>
          <w:szCs w:val="24"/>
        </w:rPr>
        <w:t>Officials</w:t>
      </w:r>
      <w:r w:rsidR="00B62DF7">
        <w:rPr>
          <w:rFonts w:ascii="Arial" w:hAnsi="Arial" w:cs="Arial"/>
          <w:szCs w:val="24"/>
        </w:rPr>
        <w:t xml:space="preserve"> estimate that the net present value of these costs over a five year period could range from $760 million to $1.5 billion.</w:t>
      </w:r>
    </w:p>
    <w:p w:rsidR="002F19C5" w:rsidRPr="000965A6" w:rsidRDefault="00D2054B" w:rsidP="000965A6">
      <w:pPr>
        <w:pStyle w:val="CabStandard"/>
        <w:tabs>
          <w:tab w:val="clear" w:pos="1004"/>
          <w:tab w:val="num" w:pos="720"/>
        </w:tabs>
        <w:ind w:left="720"/>
        <w:rPr>
          <w:rFonts w:ascii="Arial" w:hAnsi="Arial" w:cs="Arial"/>
          <w:szCs w:val="24"/>
        </w:rPr>
      </w:pPr>
      <w:r>
        <w:rPr>
          <w:rFonts w:ascii="Arial" w:hAnsi="Arial" w:cs="Arial"/>
          <w:szCs w:val="24"/>
        </w:rPr>
        <w:t xml:space="preserve">To avoid these consequences, I propose </w:t>
      </w:r>
      <w:r w:rsidR="00583A7B" w:rsidRPr="00EC70EC">
        <w:rPr>
          <w:rFonts w:ascii="Arial" w:hAnsi="Arial" w:cs="Arial"/>
          <w:szCs w:val="24"/>
        </w:rPr>
        <w:t xml:space="preserve">to </w:t>
      </w:r>
      <w:r>
        <w:rPr>
          <w:rFonts w:ascii="Arial" w:hAnsi="Arial" w:cs="Arial"/>
          <w:szCs w:val="24"/>
        </w:rPr>
        <w:t xml:space="preserve">introduce a new licensing regime for New Zealand </w:t>
      </w:r>
      <w:r w:rsidR="00583A7B" w:rsidRPr="00EC70EC">
        <w:rPr>
          <w:rFonts w:ascii="Arial" w:hAnsi="Arial" w:cs="Arial"/>
          <w:szCs w:val="24"/>
        </w:rPr>
        <w:t>administr</w:t>
      </w:r>
      <w:r>
        <w:rPr>
          <w:rFonts w:ascii="Arial" w:hAnsi="Arial" w:cs="Arial"/>
          <w:szCs w:val="24"/>
        </w:rPr>
        <w:t xml:space="preserve">ators of financial benchmarks. </w:t>
      </w:r>
      <w:r w:rsidR="00A15617">
        <w:rPr>
          <w:rFonts w:ascii="Arial" w:hAnsi="Arial" w:cs="Arial"/>
          <w:szCs w:val="24"/>
        </w:rPr>
        <w:t>The l</w:t>
      </w:r>
      <w:r w:rsidR="00997040">
        <w:rPr>
          <w:rFonts w:ascii="Arial" w:hAnsi="Arial" w:cs="Arial"/>
          <w:szCs w:val="24"/>
        </w:rPr>
        <w:t xml:space="preserve">icensing </w:t>
      </w:r>
      <w:r w:rsidR="00CD70AA">
        <w:rPr>
          <w:rFonts w:ascii="Arial" w:hAnsi="Arial" w:cs="Arial"/>
          <w:szCs w:val="24"/>
        </w:rPr>
        <w:t>would be designed to</w:t>
      </w:r>
      <w:r w:rsidR="00997040">
        <w:rPr>
          <w:rFonts w:ascii="Arial" w:hAnsi="Arial" w:cs="Arial"/>
          <w:szCs w:val="24"/>
        </w:rPr>
        <w:t xml:space="preserve"> satisfy the new EU regulations</w:t>
      </w:r>
      <w:r w:rsidR="00EA69C3" w:rsidRPr="00EC70EC">
        <w:rPr>
          <w:rFonts w:ascii="Arial" w:hAnsi="Arial" w:cs="Arial"/>
          <w:szCs w:val="24"/>
        </w:rPr>
        <w:t>,</w:t>
      </w:r>
      <w:r w:rsidR="00DB6DDB" w:rsidRPr="00EC70EC">
        <w:rPr>
          <w:rFonts w:ascii="Arial" w:hAnsi="Arial" w:cs="Arial"/>
          <w:szCs w:val="24"/>
        </w:rPr>
        <w:t xml:space="preserve"> provide additional assurance around the integrity of New Zealand benchmarks, </w:t>
      </w:r>
      <w:r w:rsidR="007B1334" w:rsidRPr="00EC70EC">
        <w:rPr>
          <w:rFonts w:ascii="Arial" w:hAnsi="Arial" w:cs="Arial"/>
          <w:szCs w:val="24"/>
        </w:rPr>
        <w:t>and</w:t>
      </w:r>
      <w:r w:rsidR="000B69EA" w:rsidRPr="00EC70EC">
        <w:rPr>
          <w:rFonts w:ascii="Arial" w:hAnsi="Arial" w:cs="Arial"/>
          <w:szCs w:val="24"/>
        </w:rPr>
        <w:t xml:space="preserve"> </w:t>
      </w:r>
      <w:r w:rsidR="00583A7B" w:rsidRPr="00EC70EC">
        <w:rPr>
          <w:rFonts w:ascii="Arial" w:hAnsi="Arial" w:cs="Arial"/>
          <w:szCs w:val="24"/>
        </w:rPr>
        <w:t>ensure continued access</w:t>
      </w:r>
      <w:r w:rsidR="000301BB" w:rsidRPr="00EC70EC">
        <w:rPr>
          <w:rFonts w:ascii="Arial" w:hAnsi="Arial" w:cs="Arial"/>
          <w:szCs w:val="24"/>
        </w:rPr>
        <w:t xml:space="preserve"> for </w:t>
      </w:r>
      <w:r w:rsidR="00295189" w:rsidRPr="00EC70EC">
        <w:rPr>
          <w:rFonts w:ascii="Arial" w:hAnsi="Arial" w:cs="Arial"/>
          <w:szCs w:val="24"/>
        </w:rPr>
        <w:t xml:space="preserve">New Zealand </w:t>
      </w:r>
      <w:r w:rsidR="000301BB" w:rsidRPr="00EC70EC">
        <w:rPr>
          <w:rFonts w:ascii="Arial" w:hAnsi="Arial" w:cs="Arial"/>
          <w:szCs w:val="24"/>
        </w:rPr>
        <w:t>benchmark</w:t>
      </w:r>
      <w:r w:rsidR="00BF35AC">
        <w:rPr>
          <w:rFonts w:ascii="Arial" w:hAnsi="Arial" w:cs="Arial"/>
          <w:szCs w:val="24"/>
        </w:rPr>
        <w:t>s</w:t>
      </w:r>
      <w:r w:rsidR="000301BB" w:rsidRPr="00EC70EC">
        <w:rPr>
          <w:rFonts w:ascii="Arial" w:hAnsi="Arial" w:cs="Arial"/>
          <w:szCs w:val="24"/>
        </w:rPr>
        <w:t xml:space="preserve"> </w:t>
      </w:r>
      <w:r w:rsidR="00BF35AC">
        <w:rPr>
          <w:rFonts w:ascii="Arial" w:hAnsi="Arial" w:cs="Arial"/>
          <w:szCs w:val="24"/>
        </w:rPr>
        <w:t xml:space="preserve">into </w:t>
      </w:r>
      <w:r w:rsidR="00583A7B" w:rsidRPr="00EC70EC">
        <w:rPr>
          <w:rFonts w:ascii="Arial" w:hAnsi="Arial" w:cs="Arial"/>
          <w:szCs w:val="24"/>
        </w:rPr>
        <w:t>EU financial markets</w:t>
      </w:r>
      <w:r w:rsidR="00EA69C3" w:rsidRPr="00EC70EC">
        <w:rPr>
          <w:rFonts w:ascii="Arial" w:hAnsi="Arial" w:cs="Arial"/>
          <w:szCs w:val="24"/>
        </w:rPr>
        <w:t xml:space="preserve">, thereby avoiding significant costs to </w:t>
      </w:r>
      <w:r w:rsidR="003A2F34">
        <w:rPr>
          <w:rFonts w:ascii="Arial" w:hAnsi="Arial" w:cs="Arial"/>
          <w:szCs w:val="24"/>
        </w:rPr>
        <w:t>NZ Inc</w:t>
      </w:r>
      <w:r w:rsidR="004A5A0B" w:rsidRPr="00EC70EC">
        <w:rPr>
          <w:rFonts w:ascii="Arial" w:hAnsi="Arial" w:cs="Arial"/>
          <w:szCs w:val="24"/>
        </w:rPr>
        <w:t>.</w:t>
      </w:r>
      <w:r w:rsidR="00FF3568" w:rsidRPr="00EC70EC">
        <w:rPr>
          <w:rFonts w:ascii="Arial" w:hAnsi="Arial" w:cs="Arial"/>
          <w:szCs w:val="24"/>
        </w:rPr>
        <w:t xml:space="preserve"> </w:t>
      </w:r>
      <w:r w:rsidR="007B1334" w:rsidRPr="00EC70EC">
        <w:rPr>
          <w:rFonts w:ascii="Arial" w:hAnsi="Arial" w:cs="Arial"/>
          <w:szCs w:val="24"/>
        </w:rPr>
        <w:t xml:space="preserve"> </w:t>
      </w:r>
    </w:p>
    <w:p w:rsidR="00C82B53" w:rsidRPr="00F642C6" w:rsidRDefault="00C82B53" w:rsidP="00C82B53">
      <w:pPr>
        <w:pStyle w:val="CabStandard"/>
        <w:numPr>
          <w:ilvl w:val="0"/>
          <w:numId w:val="0"/>
        </w:numPr>
        <w:rPr>
          <w:rFonts w:ascii="Arial" w:hAnsi="Arial" w:cs="Arial"/>
          <w:b/>
          <w:szCs w:val="24"/>
        </w:rPr>
      </w:pPr>
      <w:r w:rsidRPr="00F642C6">
        <w:rPr>
          <w:rFonts w:ascii="Arial" w:hAnsi="Arial" w:cs="Arial"/>
          <w:b/>
          <w:szCs w:val="24"/>
        </w:rPr>
        <w:t xml:space="preserve">Background </w:t>
      </w:r>
    </w:p>
    <w:p w:rsidR="00B87462" w:rsidRPr="00287083" w:rsidRDefault="00A57BCD" w:rsidP="00A57BCD">
      <w:pPr>
        <w:pStyle w:val="CabStandard"/>
        <w:numPr>
          <w:ilvl w:val="0"/>
          <w:numId w:val="0"/>
        </w:numPr>
        <w:ind w:left="720" w:hanging="720"/>
        <w:rPr>
          <w:rFonts w:ascii="Arial" w:hAnsi="Arial" w:cs="Arial"/>
          <w:i/>
          <w:szCs w:val="24"/>
        </w:rPr>
      </w:pPr>
      <w:r w:rsidRPr="00287083">
        <w:rPr>
          <w:rFonts w:ascii="Arial" w:hAnsi="Arial" w:cs="Arial"/>
          <w:i/>
          <w:szCs w:val="24"/>
        </w:rPr>
        <w:t>The nature and purpose of benchmarks</w:t>
      </w:r>
    </w:p>
    <w:p w:rsidR="00342174" w:rsidRPr="002468DB" w:rsidRDefault="00A57BCD" w:rsidP="00342174">
      <w:pPr>
        <w:pStyle w:val="CabStandard"/>
        <w:tabs>
          <w:tab w:val="clear" w:pos="1004"/>
          <w:tab w:val="num" w:pos="720"/>
        </w:tabs>
        <w:ind w:left="720"/>
        <w:rPr>
          <w:rFonts w:ascii="Arial" w:hAnsi="Arial" w:cs="Arial"/>
          <w:szCs w:val="24"/>
        </w:rPr>
      </w:pPr>
      <w:r w:rsidRPr="00A57BCD">
        <w:rPr>
          <w:rFonts w:ascii="Arial" w:hAnsi="Arial" w:cs="Arial"/>
          <w:szCs w:val="24"/>
        </w:rPr>
        <w:t xml:space="preserve">A </w:t>
      </w:r>
      <w:r>
        <w:rPr>
          <w:rFonts w:ascii="Arial" w:hAnsi="Arial" w:cs="Arial"/>
          <w:szCs w:val="24"/>
        </w:rPr>
        <w:t xml:space="preserve">financial </w:t>
      </w:r>
      <w:r w:rsidRPr="00A57BCD">
        <w:rPr>
          <w:rFonts w:ascii="Arial" w:hAnsi="Arial" w:cs="Arial"/>
          <w:szCs w:val="24"/>
        </w:rPr>
        <w:t>benchmark is a reference index</w:t>
      </w:r>
      <w:r w:rsidR="00E57374">
        <w:rPr>
          <w:rFonts w:ascii="Arial" w:hAnsi="Arial" w:cs="Arial"/>
          <w:szCs w:val="24"/>
        </w:rPr>
        <w:t xml:space="preserve"> or indicator</w:t>
      </w:r>
      <w:r w:rsidRPr="00A57BCD">
        <w:rPr>
          <w:rFonts w:ascii="Arial" w:hAnsi="Arial" w:cs="Arial"/>
          <w:szCs w:val="24"/>
        </w:rPr>
        <w:t xml:space="preserve"> </w:t>
      </w:r>
      <w:r w:rsidR="002559AD">
        <w:rPr>
          <w:rFonts w:ascii="Arial" w:hAnsi="Arial" w:cs="Arial"/>
          <w:szCs w:val="24"/>
        </w:rPr>
        <w:t>used to</w:t>
      </w:r>
      <w:r w:rsidR="00001E89">
        <w:rPr>
          <w:rFonts w:ascii="Arial" w:hAnsi="Arial" w:cs="Arial"/>
          <w:szCs w:val="24"/>
        </w:rPr>
        <w:t xml:space="preserve"> determine the price, value, or performance of financial instruments </w:t>
      </w:r>
      <w:r w:rsidR="00342174">
        <w:rPr>
          <w:rFonts w:ascii="Arial" w:hAnsi="Arial" w:cs="Arial"/>
          <w:szCs w:val="24"/>
        </w:rPr>
        <w:t xml:space="preserve">like </w:t>
      </w:r>
      <w:r w:rsidR="00001E89">
        <w:rPr>
          <w:rFonts w:ascii="Arial" w:hAnsi="Arial" w:cs="Arial"/>
          <w:szCs w:val="24"/>
        </w:rPr>
        <w:t>derivatives</w:t>
      </w:r>
      <w:r w:rsidR="0009630B">
        <w:rPr>
          <w:rFonts w:ascii="Arial" w:hAnsi="Arial" w:cs="Arial"/>
          <w:szCs w:val="24"/>
        </w:rPr>
        <w:t xml:space="preserve">. </w:t>
      </w:r>
      <w:r w:rsidR="00342174" w:rsidRPr="00DF5838">
        <w:rPr>
          <w:rFonts w:ascii="Arial" w:hAnsi="Arial" w:cs="Arial"/>
          <w:szCs w:val="24"/>
        </w:rPr>
        <w:t>The accuracy and integrity of benchmarks is vital</w:t>
      </w:r>
      <w:r w:rsidR="00342174" w:rsidRPr="00342174">
        <w:rPr>
          <w:rFonts w:ascii="Arial" w:hAnsi="Arial" w:cs="Arial"/>
          <w:szCs w:val="24"/>
        </w:rPr>
        <w:t xml:space="preserve"> </w:t>
      </w:r>
      <w:r w:rsidR="00342174" w:rsidRPr="00DF5838">
        <w:rPr>
          <w:rFonts w:ascii="Arial" w:hAnsi="Arial" w:cs="Arial"/>
          <w:szCs w:val="24"/>
        </w:rPr>
        <w:t xml:space="preserve">in the </w:t>
      </w:r>
      <w:r w:rsidR="00F82E57">
        <w:rPr>
          <w:rFonts w:ascii="Arial" w:hAnsi="Arial" w:cs="Arial"/>
          <w:szCs w:val="24"/>
        </w:rPr>
        <w:t>international financial</w:t>
      </w:r>
      <w:r w:rsidR="00342174" w:rsidRPr="00DF5838">
        <w:rPr>
          <w:rFonts w:ascii="Arial" w:hAnsi="Arial" w:cs="Arial"/>
          <w:szCs w:val="24"/>
        </w:rPr>
        <w:t xml:space="preserve"> market</w:t>
      </w:r>
      <w:r w:rsidR="00342174">
        <w:rPr>
          <w:rFonts w:ascii="Arial" w:hAnsi="Arial" w:cs="Arial"/>
          <w:szCs w:val="24"/>
        </w:rPr>
        <w:t xml:space="preserve">s where New Zealand banks </w:t>
      </w:r>
      <w:r w:rsidR="00F82E57">
        <w:rPr>
          <w:rFonts w:ascii="Arial" w:hAnsi="Arial" w:cs="Arial"/>
          <w:szCs w:val="24"/>
        </w:rPr>
        <w:t xml:space="preserve">and other financial institutions </w:t>
      </w:r>
      <w:r w:rsidR="00342174">
        <w:rPr>
          <w:rFonts w:ascii="Arial" w:hAnsi="Arial" w:cs="Arial"/>
          <w:szCs w:val="24"/>
        </w:rPr>
        <w:t xml:space="preserve">use derivatives to </w:t>
      </w:r>
      <w:r w:rsidR="00342174" w:rsidRPr="00342174">
        <w:rPr>
          <w:rFonts w:ascii="Arial" w:hAnsi="Arial" w:cs="Arial"/>
          <w:szCs w:val="24"/>
        </w:rPr>
        <w:t>hedg</w:t>
      </w:r>
      <w:r w:rsidR="00342174">
        <w:rPr>
          <w:rFonts w:ascii="Arial" w:hAnsi="Arial" w:cs="Arial"/>
          <w:szCs w:val="24"/>
        </w:rPr>
        <w:t>e</w:t>
      </w:r>
      <w:r w:rsidR="00342174" w:rsidRPr="002468DB">
        <w:rPr>
          <w:rFonts w:ascii="Arial" w:hAnsi="Arial" w:cs="Arial"/>
          <w:szCs w:val="24"/>
        </w:rPr>
        <w:t xml:space="preserve"> exposure to </w:t>
      </w:r>
      <w:r w:rsidR="0009630B">
        <w:rPr>
          <w:rFonts w:ascii="Arial" w:hAnsi="Arial" w:cs="Arial"/>
          <w:szCs w:val="24"/>
        </w:rPr>
        <w:t xml:space="preserve">different types of risk </w:t>
      </w:r>
      <w:proofErr w:type="spellStart"/>
      <w:r w:rsidR="0009630B">
        <w:rPr>
          <w:rFonts w:ascii="Arial" w:hAnsi="Arial" w:cs="Arial"/>
          <w:szCs w:val="24"/>
        </w:rPr>
        <w:t>eg</w:t>
      </w:r>
      <w:proofErr w:type="spellEnd"/>
      <w:r w:rsidR="0009630B">
        <w:rPr>
          <w:rFonts w:ascii="Arial" w:hAnsi="Arial" w:cs="Arial"/>
          <w:szCs w:val="24"/>
        </w:rPr>
        <w:t xml:space="preserve"> </w:t>
      </w:r>
      <w:r w:rsidR="00342174" w:rsidRPr="002468DB">
        <w:rPr>
          <w:rFonts w:ascii="Arial" w:hAnsi="Arial" w:cs="Arial"/>
          <w:szCs w:val="24"/>
        </w:rPr>
        <w:t xml:space="preserve">interest rate </w:t>
      </w:r>
      <w:r w:rsidR="0009630B">
        <w:rPr>
          <w:rFonts w:ascii="Arial" w:hAnsi="Arial" w:cs="Arial"/>
          <w:szCs w:val="24"/>
        </w:rPr>
        <w:t xml:space="preserve">risk or </w:t>
      </w:r>
      <w:r w:rsidR="00342174" w:rsidRPr="002468DB">
        <w:rPr>
          <w:rFonts w:ascii="Arial" w:hAnsi="Arial" w:cs="Arial"/>
          <w:szCs w:val="24"/>
        </w:rPr>
        <w:t>foreign exchange rate risk when issuing debt in foreign currency.</w:t>
      </w:r>
    </w:p>
    <w:p w:rsidR="008D2AF4" w:rsidRDefault="006742C2" w:rsidP="003150F0">
      <w:pPr>
        <w:pStyle w:val="CabStandard"/>
        <w:tabs>
          <w:tab w:val="clear" w:pos="1004"/>
          <w:tab w:val="num" w:pos="720"/>
        </w:tabs>
        <w:ind w:left="720"/>
        <w:rPr>
          <w:rFonts w:ascii="Arial" w:hAnsi="Arial" w:cs="Arial"/>
          <w:szCs w:val="24"/>
        </w:rPr>
      </w:pPr>
      <w:r w:rsidRPr="00A3323F">
        <w:rPr>
          <w:rFonts w:ascii="Arial" w:hAnsi="Arial" w:cs="Arial"/>
          <w:szCs w:val="24"/>
        </w:rPr>
        <w:t xml:space="preserve">Appendix </w:t>
      </w:r>
      <w:proofErr w:type="gramStart"/>
      <w:r w:rsidRPr="00A3323F">
        <w:rPr>
          <w:rFonts w:ascii="Arial" w:hAnsi="Arial" w:cs="Arial"/>
          <w:szCs w:val="24"/>
        </w:rPr>
        <w:t>One</w:t>
      </w:r>
      <w:proofErr w:type="gramEnd"/>
      <w:r w:rsidRPr="00EB2A01">
        <w:rPr>
          <w:rFonts w:ascii="Arial" w:hAnsi="Arial" w:cs="Arial"/>
          <w:szCs w:val="24"/>
        </w:rPr>
        <w:t xml:space="preserve"> </w:t>
      </w:r>
      <w:r w:rsidR="00097AFB" w:rsidRPr="00EB2A01">
        <w:rPr>
          <w:rFonts w:ascii="Arial" w:hAnsi="Arial" w:cs="Arial"/>
          <w:szCs w:val="24"/>
        </w:rPr>
        <w:t xml:space="preserve">provides </w:t>
      </w:r>
      <w:r w:rsidR="00AB73B1" w:rsidRPr="00EB2A01">
        <w:rPr>
          <w:rFonts w:ascii="Arial" w:hAnsi="Arial" w:cs="Arial"/>
          <w:szCs w:val="24"/>
        </w:rPr>
        <w:t xml:space="preserve">further </w:t>
      </w:r>
      <w:r w:rsidR="00097AFB" w:rsidRPr="00EB2A01">
        <w:rPr>
          <w:rFonts w:ascii="Arial" w:hAnsi="Arial" w:cs="Arial"/>
          <w:szCs w:val="24"/>
        </w:rPr>
        <w:t xml:space="preserve">information about </w:t>
      </w:r>
      <w:r w:rsidR="007746B0">
        <w:rPr>
          <w:rFonts w:ascii="Arial" w:hAnsi="Arial" w:cs="Arial"/>
          <w:szCs w:val="24"/>
        </w:rPr>
        <w:t>derivatives</w:t>
      </w:r>
      <w:r w:rsidR="00EC0231">
        <w:rPr>
          <w:rFonts w:ascii="Arial" w:hAnsi="Arial" w:cs="Arial"/>
          <w:szCs w:val="24"/>
        </w:rPr>
        <w:t xml:space="preserve">, </w:t>
      </w:r>
      <w:r w:rsidR="00BF37EC">
        <w:rPr>
          <w:rFonts w:ascii="Arial" w:hAnsi="Arial" w:cs="Arial"/>
          <w:szCs w:val="24"/>
        </w:rPr>
        <w:t xml:space="preserve">the </w:t>
      </w:r>
      <w:r w:rsidR="007F12CC">
        <w:rPr>
          <w:rFonts w:ascii="Arial" w:hAnsi="Arial" w:cs="Arial"/>
          <w:szCs w:val="24"/>
        </w:rPr>
        <w:t xml:space="preserve">BKBM and how financial benchmarks like the </w:t>
      </w:r>
      <w:r w:rsidR="00E63F56">
        <w:rPr>
          <w:rFonts w:ascii="Arial" w:hAnsi="Arial" w:cs="Arial"/>
          <w:szCs w:val="24"/>
        </w:rPr>
        <w:t xml:space="preserve">BKBM </w:t>
      </w:r>
      <w:r w:rsidR="007F12CC">
        <w:rPr>
          <w:rFonts w:ascii="Arial" w:hAnsi="Arial" w:cs="Arial"/>
          <w:szCs w:val="24"/>
        </w:rPr>
        <w:t xml:space="preserve">are referenced in </w:t>
      </w:r>
      <w:r w:rsidR="00AE19F5">
        <w:rPr>
          <w:rFonts w:ascii="Arial" w:hAnsi="Arial" w:cs="Arial"/>
          <w:szCs w:val="24"/>
        </w:rPr>
        <w:t>common</w:t>
      </w:r>
      <w:r w:rsidR="007F12CC">
        <w:rPr>
          <w:rFonts w:ascii="Arial" w:hAnsi="Arial" w:cs="Arial"/>
          <w:szCs w:val="24"/>
        </w:rPr>
        <w:t xml:space="preserve"> derivative transactions</w:t>
      </w:r>
      <w:r w:rsidRPr="00EB2A01">
        <w:rPr>
          <w:rFonts w:ascii="Arial" w:hAnsi="Arial" w:cs="Arial"/>
          <w:szCs w:val="24"/>
        </w:rPr>
        <w:t>.</w:t>
      </w:r>
    </w:p>
    <w:p w:rsidR="002C314B" w:rsidRPr="00287083" w:rsidRDefault="0088645B" w:rsidP="002C314B">
      <w:pPr>
        <w:pStyle w:val="CabStandard"/>
        <w:numPr>
          <w:ilvl w:val="0"/>
          <w:numId w:val="0"/>
        </w:numPr>
        <w:rPr>
          <w:rFonts w:ascii="Arial" w:hAnsi="Arial" w:cs="Arial"/>
          <w:i/>
          <w:szCs w:val="24"/>
        </w:rPr>
      </w:pPr>
      <w:r w:rsidRPr="00287083">
        <w:rPr>
          <w:rFonts w:ascii="Arial" w:hAnsi="Arial" w:cs="Arial"/>
          <w:i/>
          <w:szCs w:val="24"/>
        </w:rPr>
        <w:lastRenderedPageBreak/>
        <w:t>B</w:t>
      </w:r>
      <w:r w:rsidR="002C314B" w:rsidRPr="00287083">
        <w:rPr>
          <w:rFonts w:ascii="Arial" w:hAnsi="Arial" w:cs="Arial"/>
          <w:i/>
          <w:szCs w:val="24"/>
        </w:rPr>
        <w:t xml:space="preserve">enchmark </w:t>
      </w:r>
      <w:r w:rsidR="00DF5838" w:rsidRPr="00287083">
        <w:rPr>
          <w:rFonts w:ascii="Arial" w:hAnsi="Arial" w:cs="Arial"/>
          <w:i/>
          <w:szCs w:val="24"/>
        </w:rPr>
        <w:t xml:space="preserve">integrity </w:t>
      </w:r>
      <w:r w:rsidR="002C314B" w:rsidRPr="00287083">
        <w:rPr>
          <w:rFonts w:ascii="Arial" w:hAnsi="Arial" w:cs="Arial"/>
          <w:i/>
          <w:szCs w:val="24"/>
        </w:rPr>
        <w:t>problems</w:t>
      </w:r>
      <w:r w:rsidRPr="00287083">
        <w:rPr>
          <w:rFonts w:ascii="Arial" w:hAnsi="Arial" w:cs="Arial"/>
          <w:i/>
          <w:szCs w:val="24"/>
        </w:rPr>
        <w:t xml:space="preserve"> and international regulatory response</w:t>
      </w:r>
    </w:p>
    <w:p w:rsidR="00D10047" w:rsidRDefault="00DF5838" w:rsidP="003150F0">
      <w:pPr>
        <w:pStyle w:val="CabStandard"/>
        <w:tabs>
          <w:tab w:val="clear" w:pos="1004"/>
          <w:tab w:val="num" w:pos="720"/>
        </w:tabs>
        <w:ind w:left="720"/>
        <w:rPr>
          <w:rFonts w:ascii="Arial" w:hAnsi="Arial" w:cs="Arial"/>
          <w:szCs w:val="24"/>
        </w:rPr>
      </w:pPr>
      <w:r w:rsidRPr="00CA28D9">
        <w:rPr>
          <w:rFonts w:ascii="Arial" w:hAnsi="Arial" w:cs="Arial"/>
          <w:szCs w:val="24"/>
        </w:rPr>
        <w:t>If the availability or integrity of key benchmarks is disrupted</w:t>
      </w:r>
      <w:r w:rsidR="00CA28D9" w:rsidRPr="00CA28D9">
        <w:rPr>
          <w:rFonts w:ascii="Arial" w:hAnsi="Arial" w:cs="Arial"/>
          <w:szCs w:val="24"/>
        </w:rPr>
        <w:t xml:space="preserve"> by market conduct concerns (e.g. a conflict of interest)</w:t>
      </w:r>
      <w:r w:rsidRPr="00CA28D9">
        <w:rPr>
          <w:rFonts w:ascii="Arial" w:hAnsi="Arial" w:cs="Arial"/>
          <w:szCs w:val="24"/>
        </w:rPr>
        <w:t>, there is a risk of financial instability</w:t>
      </w:r>
      <w:r w:rsidR="00D10047">
        <w:rPr>
          <w:rFonts w:ascii="Arial" w:hAnsi="Arial" w:cs="Arial"/>
          <w:szCs w:val="24"/>
        </w:rPr>
        <w:t xml:space="preserve">, </w:t>
      </w:r>
      <w:r w:rsidRPr="00CA28D9">
        <w:rPr>
          <w:rFonts w:ascii="Arial" w:hAnsi="Arial" w:cs="Arial"/>
          <w:szCs w:val="24"/>
        </w:rPr>
        <w:t>undermining investor confidence</w:t>
      </w:r>
      <w:r w:rsidR="00D10047">
        <w:rPr>
          <w:rFonts w:ascii="Arial" w:hAnsi="Arial" w:cs="Arial"/>
          <w:szCs w:val="24"/>
        </w:rPr>
        <w:t xml:space="preserve"> and financial losses</w:t>
      </w:r>
      <w:r w:rsidRPr="00CA28D9">
        <w:rPr>
          <w:rFonts w:ascii="Arial" w:hAnsi="Arial" w:cs="Arial"/>
          <w:szCs w:val="24"/>
        </w:rPr>
        <w:t>.</w:t>
      </w:r>
    </w:p>
    <w:p w:rsidR="000B243D" w:rsidRPr="00D10047" w:rsidRDefault="0088645B" w:rsidP="003150F0">
      <w:pPr>
        <w:pStyle w:val="CabStandard"/>
        <w:tabs>
          <w:tab w:val="clear" w:pos="1004"/>
          <w:tab w:val="num" w:pos="720"/>
        </w:tabs>
        <w:ind w:left="720"/>
        <w:rPr>
          <w:rFonts w:ascii="Arial" w:hAnsi="Arial" w:cs="Arial"/>
          <w:szCs w:val="24"/>
        </w:rPr>
      </w:pPr>
      <w:r>
        <w:rPr>
          <w:rFonts w:ascii="Arial" w:hAnsi="Arial" w:cs="Arial"/>
          <w:szCs w:val="24"/>
        </w:rPr>
        <w:t>Internationally, t</w:t>
      </w:r>
      <w:r w:rsidR="002C314B" w:rsidRPr="00D10047">
        <w:rPr>
          <w:rFonts w:ascii="Arial" w:hAnsi="Arial" w:cs="Arial"/>
          <w:szCs w:val="24"/>
        </w:rPr>
        <w:t>here have been s</w:t>
      </w:r>
      <w:r w:rsidR="0038193D" w:rsidRPr="00D10047">
        <w:rPr>
          <w:rFonts w:ascii="Arial" w:hAnsi="Arial" w:cs="Arial"/>
          <w:szCs w:val="24"/>
        </w:rPr>
        <w:t xml:space="preserve">erious cases of </w:t>
      </w:r>
      <w:r w:rsidR="003377E4" w:rsidRPr="00D10047">
        <w:rPr>
          <w:rFonts w:ascii="Arial" w:hAnsi="Arial" w:cs="Arial"/>
          <w:szCs w:val="24"/>
        </w:rPr>
        <w:t xml:space="preserve">fraudulent </w:t>
      </w:r>
      <w:r w:rsidR="0038193D" w:rsidRPr="00D10047">
        <w:rPr>
          <w:rFonts w:ascii="Arial" w:hAnsi="Arial" w:cs="Arial"/>
          <w:szCs w:val="24"/>
        </w:rPr>
        <w:t>manipulation of interest rate benchmarks</w:t>
      </w:r>
      <w:r w:rsidR="00334910">
        <w:rPr>
          <w:rFonts w:ascii="Arial" w:hAnsi="Arial" w:cs="Arial"/>
          <w:szCs w:val="24"/>
        </w:rPr>
        <w:t xml:space="preserve">. </w:t>
      </w:r>
      <w:r w:rsidR="00D10047" w:rsidRPr="00D10047">
        <w:rPr>
          <w:rFonts w:ascii="Arial" w:hAnsi="Arial" w:cs="Arial"/>
          <w:szCs w:val="24"/>
        </w:rPr>
        <w:t xml:space="preserve">For example, </w:t>
      </w:r>
      <w:r w:rsidR="0006645F">
        <w:rPr>
          <w:rFonts w:ascii="Arial" w:hAnsi="Arial" w:cs="Arial"/>
          <w:szCs w:val="24"/>
        </w:rPr>
        <w:t>in</w:t>
      </w:r>
      <w:r w:rsidR="0006645F" w:rsidRPr="00D10047">
        <w:rPr>
          <w:rFonts w:ascii="Arial" w:hAnsi="Arial" w:cs="Arial"/>
          <w:szCs w:val="24"/>
        </w:rPr>
        <w:t xml:space="preserve"> </w:t>
      </w:r>
      <w:r w:rsidR="0006645F">
        <w:rPr>
          <w:rFonts w:ascii="Arial" w:hAnsi="Arial" w:cs="Arial"/>
          <w:szCs w:val="24"/>
        </w:rPr>
        <w:t xml:space="preserve">the </w:t>
      </w:r>
      <w:r w:rsidR="00595E32">
        <w:rPr>
          <w:rFonts w:ascii="Arial" w:hAnsi="Arial" w:cs="Arial"/>
          <w:szCs w:val="24"/>
        </w:rPr>
        <w:t xml:space="preserve">2012 </w:t>
      </w:r>
      <w:r w:rsidR="002C314B" w:rsidRPr="00D10047">
        <w:rPr>
          <w:rFonts w:ascii="Arial" w:hAnsi="Arial" w:cs="Arial"/>
          <w:szCs w:val="24"/>
        </w:rPr>
        <w:t>LIBOR scandal</w:t>
      </w:r>
      <w:r w:rsidR="00D10047">
        <w:rPr>
          <w:rFonts w:ascii="Arial" w:hAnsi="Arial" w:cs="Arial"/>
          <w:szCs w:val="24"/>
        </w:rPr>
        <w:t xml:space="preserve">, </w:t>
      </w:r>
      <w:r w:rsidR="00342174" w:rsidRPr="00D10047">
        <w:rPr>
          <w:rFonts w:ascii="Arial" w:hAnsi="Arial" w:cs="Arial"/>
          <w:szCs w:val="24"/>
        </w:rPr>
        <w:t xml:space="preserve">banks </w:t>
      </w:r>
      <w:r w:rsidR="00334910">
        <w:rPr>
          <w:rFonts w:ascii="Arial" w:hAnsi="Arial" w:cs="Arial"/>
          <w:szCs w:val="24"/>
        </w:rPr>
        <w:t xml:space="preserve">in the United Kingdom </w:t>
      </w:r>
      <w:r w:rsidR="00342174">
        <w:rPr>
          <w:rFonts w:ascii="Arial" w:hAnsi="Arial" w:cs="Arial"/>
          <w:szCs w:val="24"/>
        </w:rPr>
        <w:t>collud</w:t>
      </w:r>
      <w:r w:rsidR="0006645F">
        <w:rPr>
          <w:rFonts w:ascii="Arial" w:hAnsi="Arial" w:cs="Arial"/>
          <w:szCs w:val="24"/>
        </w:rPr>
        <w:t>ed</w:t>
      </w:r>
      <w:r w:rsidR="00342174">
        <w:rPr>
          <w:rFonts w:ascii="Arial" w:hAnsi="Arial" w:cs="Arial"/>
          <w:szCs w:val="24"/>
        </w:rPr>
        <w:t xml:space="preserve"> and </w:t>
      </w:r>
      <w:r w:rsidR="00342174" w:rsidRPr="00D10047">
        <w:rPr>
          <w:rFonts w:ascii="Arial" w:hAnsi="Arial" w:cs="Arial"/>
          <w:szCs w:val="24"/>
        </w:rPr>
        <w:t xml:space="preserve">falsely </w:t>
      </w:r>
      <w:r w:rsidR="0006645F" w:rsidRPr="00D10047">
        <w:rPr>
          <w:rFonts w:ascii="Arial" w:hAnsi="Arial" w:cs="Arial"/>
          <w:szCs w:val="24"/>
        </w:rPr>
        <w:t>inflat</w:t>
      </w:r>
      <w:r w:rsidR="0006645F">
        <w:rPr>
          <w:rFonts w:ascii="Arial" w:hAnsi="Arial" w:cs="Arial"/>
          <w:szCs w:val="24"/>
        </w:rPr>
        <w:t>ed</w:t>
      </w:r>
      <w:r w:rsidR="0006645F" w:rsidRPr="00D10047">
        <w:rPr>
          <w:rFonts w:ascii="Arial" w:hAnsi="Arial" w:cs="Arial"/>
          <w:szCs w:val="24"/>
        </w:rPr>
        <w:t xml:space="preserve"> </w:t>
      </w:r>
      <w:r w:rsidR="00342174" w:rsidRPr="00D10047">
        <w:rPr>
          <w:rFonts w:ascii="Arial" w:hAnsi="Arial" w:cs="Arial"/>
          <w:szCs w:val="24"/>
        </w:rPr>
        <w:t xml:space="preserve">or </w:t>
      </w:r>
      <w:r w:rsidR="0006645F" w:rsidRPr="00D10047">
        <w:rPr>
          <w:rFonts w:ascii="Arial" w:hAnsi="Arial" w:cs="Arial"/>
          <w:szCs w:val="24"/>
        </w:rPr>
        <w:t>deflat</w:t>
      </w:r>
      <w:r w:rsidR="0006645F">
        <w:rPr>
          <w:rFonts w:ascii="Arial" w:hAnsi="Arial" w:cs="Arial"/>
          <w:szCs w:val="24"/>
        </w:rPr>
        <w:t>ed</w:t>
      </w:r>
      <w:r w:rsidR="0006645F" w:rsidRPr="00D10047">
        <w:rPr>
          <w:rFonts w:ascii="Arial" w:hAnsi="Arial" w:cs="Arial"/>
          <w:szCs w:val="24"/>
        </w:rPr>
        <w:t xml:space="preserve"> </w:t>
      </w:r>
      <w:r w:rsidR="00342174" w:rsidRPr="00D10047">
        <w:rPr>
          <w:rFonts w:ascii="Arial" w:hAnsi="Arial" w:cs="Arial"/>
          <w:szCs w:val="24"/>
        </w:rPr>
        <w:t xml:space="preserve">the </w:t>
      </w:r>
      <w:r w:rsidR="00342174">
        <w:rPr>
          <w:rFonts w:ascii="Arial" w:hAnsi="Arial" w:cs="Arial"/>
          <w:szCs w:val="24"/>
        </w:rPr>
        <w:t xml:space="preserve">interest </w:t>
      </w:r>
      <w:r w:rsidR="00342174" w:rsidRPr="00D10047">
        <w:rPr>
          <w:rFonts w:ascii="Arial" w:hAnsi="Arial" w:cs="Arial"/>
          <w:szCs w:val="24"/>
        </w:rPr>
        <w:t>rates</w:t>
      </w:r>
      <w:r w:rsidR="00342174">
        <w:rPr>
          <w:rFonts w:ascii="Arial" w:hAnsi="Arial" w:cs="Arial"/>
          <w:szCs w:val="24"/>
        </w:rPr>
        <w:t xml:space="preserve"> they each submitted for benchmarking purposes, so they could </w:t>
      </w:r>
      <w:r w:rsidR="00342174" w:rsidRPr="00D10047">
        <w:rPr>
          <w:rFonts w:ascii="Arial" w:hAnsi="Arial" w:cs="Arial"/>
          <w:szCs w:val="24"/>
        </w:rPr>
        <w:t>profit from trades or give the impression that they were more creditworthy than they were.</w:t>
      </w:r>
      <w:r w:rsidR="000B243D" w:rsidRPr="00D10047">
        <w:rPr>
          <w:rFonts w:ascii="Arial" w:hAnsi="Arial" w:cs="Arial"/>
          <w:szCs w:val="24"/>
        </w:rPr>
        <w:t xml:space="preserve">  </w:t>
      </w:r>
    </w:p>
    <w:p w:rsidR="000B243D" w:rsidRDefault="000B243D" w:rsidP="003150F0">
      <w:pPr>
        <w:pStyle w:val="CabStandard"/>
        <w:tabs>
          <w:tab w:val="clear" w:pos="1004"/>
          <w:tab w:val="num" w:pos="720"/>
        </w:tabs>
        <w:ind w:left="720"/>
        <w:rPr>
          <w:rFonts w:ascii="Arial" w:hAnsi="Arial" w:cs="Arial"/>
          <w:szCs w:val="24"/>
        </w:rPr>
      </w:pPr>
      <w:r w:rsidRPr="009C27AA">
        <w:rPr>
          <w:rFonts w:ascii="Arial" w:hAnsi="Arial" w:cs="Arial"/>
          <w:szCs w:val="24"/>
        </w:rPr>
        <w:t xml:space="preserve">The scandal was </w:t>
      </w:r>
      <w:r w:rsidR="00E41408">
        <w:rPr>
          <w:rFonts w:ascii="Arial" w:hAnsi="Arial" w:cs="Arial"/>
          <w:szCs w:val="24"/>
        </w:rPr>
        <w:t xml:space="preserve">particularly </w:t>
      </w:r>
      <w:r w:rsidRPr="009C27AA">
        <w:rPr>
          <w:rFonts w:ascii="Arial" w:hAnsi="Arial" w:cs="Arial"/>
          <w:szCs w:val="24"/>
        </w:rPr>
        <w:t xml:space="preserve">significant </w:t>
      </w:r>
      <w:r>
        <w:rPr>
          <w:rFonts w:ascii="Arial" w:hAnsi="Arial" w:cs="Arial"/>
          <w:szCs w:val="24"/>
        </w:rPr>
        <w:t xml:space="preserve">because </w:t>
      </w:r>
      <w:r w:rsidRPr="009C27AA">
        <w:rPr>
          <w:rFonts w:ascii="Arial" w:hAnsi="Arial" w:cs="Arial"/>
          <w:szCs w:val="24"/>
        </w:rPr>
        <w:t xml:space="preserve">LIBOR is an important interest rate when it comes to global finance. It is used to determine the price that businesses pay for loans and </w:t>
      </w:r>
      <w:r w:rsidR="005E7BBE">
        <w:rPr>
          <w:rFonts w:ascii="Arial" w:hAnsi="Arial" w:cs="Arial"/>
          <w:szCs w:val="24"/>
        </w:rPr>
        <w:t xml:space="preserve">indirectly affects the price that </w:t>
      </w:r>
      <w:r w:rsidRPr="009C27AA">
        <w:rPr>
          <w:rFonts w:ascii="Arial" w:hAnsi="Arial" w:cs="Arial"/>
          <w:szCs w:val="24"/>
        </w:rPr>
        <w:t>individuals</w:t>
      </w:r>
      <w:r w:rsidR="00666038">
        <w:rPr>
          <w:rFonts w:ascii="Arial" w:hAnsi="Arial" w:cs="Arial"/>
          <w:szCs w:val="24"/>
        </w:rPr>
        <w:t xml:space="preserve"> </w:t>
      </w:r>
      <w:r w:rsidRPr="009C27AA">
        <w:rPr>
          <w:rFonts w:ascii="Arial" w:hAnsi="Arial" w:cs="Arial"/>
          <w:szCs w:val="24"/>
        </w:rPr>
        <w:t>pay for mortgages</w:t>
      </w:r>
      <w:r>
        <w:rPr>
          <w:rFonts w:ascii="Arial" w:hAnsi="Arial" w:cs="Arial"/>
          <w:szCs w:val="24"/>
        </w:rPr>
        <w:t>;</w:t>
      </w:r>
      <w:r w:rsidRPr="009C27AA">
        <w:rPr>
          <w:rFonts w:ascii="Arial" w:hAnsi="Arial" w:cs="Arial"/>
          <w:szCs w:val="24"/>
        </w:rPr>
        <w:t xml:space="preserve"> and is also used in derivative pricing. In </w:t>
      </w:r>
      <w:r w:rsidR="00BB58BB">
        <w:rPr>
          <w:rFonts w:ascii="Arial" w:hAnsi="Arial" w:cs="Arial"/>
          <w:szCs w:val="24"/>
        </w:rPr>
        <w:t xml:space="preserve">2016, in </w:t>
      </w:r>
      <w:r w:rsidRPr="009C27AA">
        <w:rPr>
          <w:rFonts w:ascii="Arial" w:hAnsi="Arial" w:cs="Arial"/>
          <w:szCs w:val="24"/>
        </w:rPr>
        <w:t>aggregate</w:t>
      </w:r>
      <w:r w:rsidR="00BB58BB">
        <w:rPr>
          <w:rFonts w:ascii="Arial" w:hAnsi="Arial" w:cs="Arial"/>
          <w:szCs w:val="24"/>
        </w:rPr>
        <w:t>,</w:t>
      </w:r>
      <w:r w:rsidRPr="009C27AA">
        <w:rPr>
          <w:rFonts w:ascii="Arial" w:hAnsi="Arial" w:cs="Arial"/>
          <w:szCs w:val="24"/>
        </w:rPr>
        <w:t xml:space="preserve"> the LIBOR underpin</w:t>
      </w:r>
      <w:r w:rsidR="00BB58BB">
        <w:rPr>
          <w:rFonts w:ascii="Arial" w:hAnsi="Arial" w:cs="Arial"/>
          <w:szCs w:val="24"/>
        </w:rPr>
        <w:t>ned</w:t>
      </w:r>
      <w:r w:rsidRPr="009C27AA">
        <w:rPr>
          <w:rFonts w:ascii="Arial" w:hAnsi="Arial" w:cs="Arial"/>
          <w:szCs w:val="24"/>
        </w:rPr>
        <w:t xml:space="preserve"> </w:t>
      </w:r>
      <w:r w:rsidR="0006645F">
        <w:rPr>
          <w:rFonts w:ascii="Arial" w:hAnsi="Arial" w:cs="Arial"/>
          <w:szCs w:val="24"/>
        </w:rPr>
        <w:t xml:space="preserve">approximately </w:t>
      </w:r>
      <w:r>
        <w:rPr>
          <w:rFonts w:ascii="Arial" w:hAnsi="Arial" w:cs="Arial"/>
          <w:szCs w:val="24"/>
        </w:rPr>
        <w:t>US</w:t>
      </w:r>
      <w:r w:rsidRPr="009C27AA">
        <w:rPr>
          <w:rFonts w:ascii="Arial" w:hAnsi="Arial" w:cs="Arial"/>
          <w:szCs w:val="24"/>
        </w:rPr>
        <w:t xml:space="preserve">$300 trillion of loans globally. </w:t>
      </w:r>
    </w:p>
    <w:p w:rsidR="00DC4FB5" w:rsidRDefault="009863BB" w:rsidP="00DC4FB5">
      <w:pPr>
        <w:pStyle w:val="CabStandard"/>
        <w:tabs>
          <w:tab w:val="clear" w:pos="1004"/>
          <w:tab w:val="num" w:pos="720"/>
        </w:tabs>
        <w:ind w:left="720"/>
        <w:rPr>
          <w:rFonts w:ascii="Arial" w:hAnsi="Arial" w:cs="Arial"/>
          <w:szCs w:val="24"/>
        </w:rPr>
      </w:pPr>
      <w:r w:rsidRPr="00DC4FB5">
        <w:rPr>
          <w:rFonts w:ascii="Arial" w:hAnsi="Arial" w:cs="Arial"/>
          <w:szCs w:val="24"/>
        </w:rPr>
        <w:t>In 2013, in response to these issues, the International Organization of Securities Commissions (IOSCO) developed the Prin</w:t>
      </w:r>
      <w:r w:rsidR="00334910">
        <w:rPr>
          <w:rFonts w:ascii="Arial" w:hAnsi="Arial" w:cs="Arial"/>
          <w:szCs w:val="24"/>
        </w:rPr>
        <w:t>ciples for Financial Benchmarks</w:t>
      </w:r>
      <w:r w:rsidRPr="00DC4FB5">
        <w:rPr>
          <w:rFonts w:ascii="Arial" w:hAnsi="Arial" w:cs="Arial"/>
          <w:szCs w:val="24"/>
        </w:rPr>
        <w:t xml:space="preserve"> (the IOSCO Principles), which set out the desirable characteristics of a regulatory regime for financial benchmarks</w:t>
      </w:r>
      <w:r w:rsidR="0054171F">
        <w:rPr>
          <w:rFonts w:ascii="Arial" w:hAnsi="Arial" w:cs="Arial"/>
          <w:szCs w:val="24"/>
        </w:rPr>
        <w:t xml:space="preserve"> </w:t>
      </w:r>
      <w:r w:rsidR="0054171F" w:rsidRPr="00BC4E6C">
        <w:rPr>
          <w:rFonts w:ascii="Arial" w:hAnsi="Arial" w:cs="Arial"/>
          <w:szCs w:val="24"/>
        </w:rPr>
        <w:t>to ensure accuracy, robustness and integrity of benchmarks and of the benchmark determination process in the EU</w:t>
      </w:r>
      <w:r w:rsidR="0054171F">
        <w:rPr>
          <w:rFonts w:ascii="Arial" w:hAnsi="Arial" w:cs="Arial"/>
          <w:szCs w:val="24"/>
        </w:rPr>
        <w:t>.</w:t>
      </w:r>
    </w:p>
    <w:p w:rsidR="0024414E" w:rsidRPr="00015B4B" w:rsidRDefault="00582D4B" w:rsidP="001F7A9B">
      <w:pPr>
        <w:pStyle w:val="CabStandard"/>
        <w:tabs>
          <w:tab w:val="clear" w:pos="1004"/>
          <w:tab w:val="num" w:pos="720"/>
        </w:tabs>
        <w:ind w:left="720"/>
        <w:rPr>
          <w:rFonts w:ascii="Arial" w:hAnsi="Arial" w:cs="Arial"/>
          <w:szCs w:val="24"/>
        </w:rPr>
      </w:pPr>
      <w:r w:rsidRPr="001F7A9B">
        <w:rPr>
          <w:rFonts w:ascii="Arial" w:hAnsi="Arial" w:cs="Arial"/>
          <w:szCs w:val="24"/>
        </w:rPr>
        <w:t>Several</w:t>
      </w:r>
      <w:r w:rsidR="009863BB" w:rsidRPr="001F7A9B">
        <w:rPr>
          <w:rFonts w:ascii="Arial" w:hAnsi="Arial" w:cs="Arial"/>
          <w:szCs w:val="24"/>
        </w:rPr>
        <w:t xml:space="preserve"> jurisdictions, including the United Kingdom, the EU, Japan, Singapore</w:t>
      </w:r>
      <w:r w:rsidR="00E77FB1" w:rsidRPr="001F7A9B">
        <w:rPr>
          <w:rFonts w:ascii="Arial" w:hAnsi="Arial" w:cs="Arial"/>
          <w:szCs w:val="24"/>
        </w:rPr>
        <w:t xml:space="preserve">, </w:t>
      </w:r>
      <w:r w:rsidR="009863BB" w:rsidRPr="00E0558D">
        <w:rPr>
          <w:rFonts w:ascii="Arial" w:hAnsi="Arial" w:cs="Arial"/>
          <w:szCs w:val="24"/>
        </w:rPr>
        <w:t>Canada</w:t>
      </w:r>
      <w:r w:rsidR="00E77FB1" w:rsidRPr="00E0558D">
        <w:rPr>
          <w:rFonts w:ascii="Arial" w:hAnsi="Arial" w:cs="Arial"/>
          <w:szCs w:val="24"/>
        </w:rPr>
        <w:t xml:space="preserve"> and Australia</w:t>
      </w:r>
      <w:r w:rsidR="009863BB" w:rsidRPr="000F22D7">
        <w:rPr>
          <w:rFonts w:ascii="Arial" w:hAnsi="Arial" w:cs="Arial"/>
          <w:szCs w:val="24"/>
        </w:rPr>
        <w:t xml:space="preserve">, have since worked to align their regulatory regimes with the IOSCO Principles. </w:t>
      </w:r>
      <w:r w:rsidR="0024414E" w:rsidRPr="001F7A9B">
        <w:rPr>
          <w:rFonts w:ascii="Arial" w:hAnsi="Arial" w:cs="Arial"/>
          <w:szCs w:val="24"/>
        </w:rPr>
        <w:t xml:space="preserve">Australia’s regulatory response was </w:t>
      </w:r>
      <w:r w:rsidR="00015B4B">
        <w:rPr>
          <w:rFonts w:ascii="Arial" w:hAnsi="Arial" w:cs="Arial"/>
          <w:szCs w:val="24"/>
        </w:rPr>
        <w:t xml:space="preserve">largely </w:t>
      </w:r>
      <w:r w:rsidR="0024414E" w:rsidRPr="00015B4B">
        <w:rPr>
          <w:rFonts w:ascii="Arial" w:hAnsi="Arial" w:cs="Arial"/>
          <w:szCs w:val="24"/>
        </w:rPr>
        <w:t>motivated by evidence of market conduct problems similar to the LIBOR scandal</w:t>
      </w:r>
      <w:r w:rsidR="001F7A9B" w:rsidRPr="00015B4B">
        <w:rPr>
          <w:rFonts w:ascii="Arial" w:hAnsi="Arial" w:cs="Arial"/>
          <w:szCs w:val="24"/>
        </w:rPr>
        <w:t>.</w:t>
      </w:r>
      <w:r w:rsidR="00147D55">
        <w:rPr>
          <w:rFonts w:ascii="Arial" w:hAnsi="Arial" w:cs="Arial"/>
          <w:szCs w:val="24"/>
        </w:rPr>
        <w:t xml:space="preserve"> </w:t>
      </w:r>
      <w:r w:rsidR="00015B4B">
        <w:rPr>
          <w:rFonts w:ascii="Arial" w:hAnsi="Arial" w:cs="Arial"/>
          <w:szCs w:val="24"/>
        </w:rPr>
        <w:t xml:space="preserve">The new Australian regime, which came into effect in March 2018, also </w:t>
      </w:r>
      <w:r w:rsidR="00015B4B" w:rsidRPr="005C0B07">
        <w:rPr>
          <w:rFonts w:ascii="Arial" w:hAnsi="Arial" w:cs="Arial"/>
          <w:szCs w:val="24"/>
        </w:rPr>
        <w:t>create</w:t>
      </w:r>
      <w:r w:rsidR="00015B4B">
        <w:rPr>
          <w:rFonts w:ascii="Arial" w:hAnsi="Arial" w:cs="Arial"/>
          <w:szCs w:val="24"/>
        </w:rPr>
        <w:t>d</w:t>
      </w:r>
      <w:r w:rsidR="00015B4B" w:rsidRPr="005C0B07">
        <w:rPr>
          <w:rFonts w:ascii="Arial" w:hAnsi="Arial" w:cs="Arial"/>
          <w:szCs w:val="24"/>
        </w:rPr>
        <w:t xml:space="preserve"> offences and penalties for manipulation of financial benchmarks.</w:t>
      </w:r>
    </w:p>
    <w:p w:rsidR="00E41408" w:rsidRPr="00287083" w:rsidRDefault="002559AD" w:rsidP="00B2459E">
      <w:pPr>
        <w:pStyle w:val="CabStandard"/>
        <w:keepNext/>
        <w:numPr>
          <w:ilvl w:val="0"/>
          <w:numId w:val="0"/>
        </w:numPr>
        <w:rPr>
          <w:rFonts w:ascii="Arial" w:hAnsi="Arial" w:cs="Arial"/>
          <w:i/>
          <w:szCs w:val="24"/>
        </w:rPr>
      </w:pPr>
      <w:r w:rsidRPr="00287083">
        <w:rPr>
          <w:rFonts w:ascii="Arial" w:hAnsi="Arial" w:cs="Arial"/>
          <w:i/>
          <w:szCs w:val="24"/>
        </w:rPr>
        <w:lastRenderedPageBreak/>
        <w:t xml:space="preserve">New </w:t>
      </w:r>
      <w:r w:rsidR="00E65530" w:rsidRPr="00287083">
        <w:rPr>
          <w:rFonts w:ascii="Arial" w:hAnsi="Arial" w:cs="Arial"/>
          <w:i/>
          <w:szCs w:val="24"/>
        </w:rPr>
        <w:t>EU benchmark regulation</w:t>
      </w:r>
      <w:r w:rsidR="00665C48" w:rsidRPr="00287083">
        <w:rPr>
          <w:rFonts w:ascii="Arial" w:hAnsi="Arial" w:cs="Arial"/>
          <w:i/>
          <w:szCs w:val="24"/>
        </w:rPr>
        <w:t>s</w:t>
      </w:r>
    </w:p>
    <w:p w:rsidR="00DC4A5D" w:rsidRPr="00BC4E6C" w:rsidRDefault="00AA50CC" w:rsidP="00DC4A5D">
      <w:pPr>
        <w:pStyle w:val="CabStandard"/>
        <w:tabs>
          <w:tab w:val="clear" w:pos="1004"/>
          <w:tab w:val="num" w:pos="720"/>
        </w:tabs>
        <w:ind w:left="720"/>
        <w:rPr>
          <w:rFonts w:ascii="Arial" w:hAnsi="Arial" w:cs="Arial"/>
          <w:szCs w:val="24"/>
        </w:rPr>
      </w:pPr>
      <w:r w:rsidRPr="00BC4E6C">
        <w:rPr>
          <w:rFonts w:ascii="Arial" w:hAnsi="Arial" w:cs="Arial"/>
          <w:szCs w:val="24"/>
        </w:rPr>
        <w:t>In June 2016, t</w:t>
      </w:r>
      <w:r w:rsidR="00E41408" w:rsidRPr="00BC4E6C">
        <w:rPr>
          <w:rFonts w:ascii="Arial" w:hAnsi="Arial" w:cs="Arial"/>
          <w:szCs w:val="24"/>
        </w:rPr>
        <w:t xml:space="preserve">he EU </w:t>
      </w:r>
      <w:r w:rsidR="00C40624" w:rsidRPr="00BC4E6C">
        <w:rPr>
          <w:rFonts w:ascii="Arial" w:hAnsi="Arial" w:cs="Arial"/>
          <w:szCs w:val="24"/>
        </w:rPr>
        <w:t>published benchmark</w:t>
      </w:r>
      <w:r w:rsidR="00506DE8" w:rsidRPr="00BC4E6C">
        <w:rPr>
          <w:rFonts w:ascii="Arial" w:hAnsi="Arial" w:cs="Arial"/>
          <w:szCs w:val="24"/>
        </w:rPr>
        <w:t xml:space="preserve"> </w:t>
      </w:r>
      <w:r w:rsidR="00665C48" w:rsidRPr="00BC4E6C">
        <w:rPr>
          <w:rFonts w:ascii="Arial" w:hAnsi="Arial" w:cs="Arial"/>
          <w:szCs w:val="24"/>
        </w:rPr>
        <w:t>regulations</w:t>
      </w:r>
      <w:r w:rsidR="00C40624" w:rsidRPr="00BC4E6C">
        <w:rPr>
          <w:rFonts w:ascii="Arial" w:hAnsi="Arial" w:cs="Arial"/>
          <w:szCs w:val="24"/>
        </w:rPr>
        <w:t xml:space="preserve"> </w:t>
      </w:r>
      <w:r w:rsidR="0054171F">
        <w:rPr>
          <w:rFonts w:ascii="Arial" w:hAnsi="Arial" w:cs="Arial"/>
          <w:szCs w:val="24"/>
        </w:rPr>
        <w:t xml:space="preserve">which </w:t>
      </w:r>
      <w:r w:rsidR="005B120A" w:rsidRPr="00BC4E6C">
        <w:rPr>
          <w:rFonts w:ascii="Arial" w:hAnsi="Arial" w:cs="Arial"/>
          <w:szCs w:val="24"/>
        </w:rPr>
        <w:t>follow</w:t>
      </w:r>
      <w:r w:rsidR="00435632" w:rsidRPr="00BC4E6C">
        <w:rPr>
          <w:rFonts w:ascii="Arial" w:hAnsi="Arial" w:cs="Arial"/>
          <w:szCs w:val="24"/>
        </w:rPr>
        <w:t xml:space="preserve"> and extensively ‘gold-plate’ </w:t>
      </w:r>
      <w:r w:rsidR="005B120A" w:rsidRPr="00BC4E6C">
        <w:rPr>
          <w:rFonts w:ascii="Arial" w:hAnsi="Arial" w:cs="Arial"/>
          <w:szCs w:val="24"/>
        </w:rPr>
        <w:t xml:space="preserve">the </w:t>
      </w:r>
      <w:r w:rsidR="00435632" w:rsidRPr="00BC4E6C">
        <w:rPr>
          <w:rFonts w:ascii="Arial" w:hAnsi="Arial" w:cs="Arial"/>
          <w:szCs w:val="24"/>
        </w:rPr>
        <w:t>recommenda</w:t>
      </w:r>
      <w:r w:rsidR="00147D55">
        <w:rPr>
          <w:rFonts w:ascii="Arial" w:hAnsi="Arial" w:cs="Arial"/>
          <w:szCs w:val="24"/>
        </w:rPr>
        <w:t xml:space="preserve">tions of the IOSCO Principles. </w:t>
      </w:r>
      <w:r w:rsidR="00DC4A5D" w:rsidRPr="00BC4E6C">
        <w:rPr>
          <w:rFonts w:ascii="Arial" w:hAnsi="Arial" w:cs="Arial"/>
          <w:szCs w:val="24"/>
        </w:rPr>
        <w:t>The regulations introduce new compliance requirements for benchma</w:t>
      </w:r>
      <w:r w:rsidR="00176484">
        <w:rPr>
          <w:rFonts w:ascii="Arial" w:hAnsi="Arial" w:cs="Arial"/>
          <w:szCs w:val="24"/>
        </w:rPr>
        <w:t>rk administrators, contributors</w:t>
      </w:r>
      <w:r w:rsidR="00DC4A5D" w:rsidRPr="00BC4E6C">
        <w:rPr>
          <w:rFonts w:ascii="Arial" w:hAnsi="Arial" w:cs="Arial"/>
          <w:szCs w:val="24"/>
        </w:rPr>
        <w:t xml:space="preserve"> and users, </w:t>
      </w:r>
      <w:r w:rsidR="00DD6527">
        <w:rPr>
          <w:rFonts w:ascii="Arial" w:hAnsi="Arial" w:cs="Arial"/>
          <w:szCs w:val="24"/>
        </w:rPr>
        <w:t>as well as the overarching regulatory regime and practices of regulators superv</w:t>
      </w:r>
      <w:r w:rsidR="001B6EDD">
        <w:rPr>
          <w:rFonts w:ascii="Arial" w:hAnsi="Arial" w:cs="Arial"/>
          <w:szCs w:val="24"/>
        </w:rPr>
        <w:t>ising benchmark administrators.</w:t>
      </w:r>
    </w:p>
    <w:p w:rsidR="00DC4A5D" w:rsidRDefault="00DC4A5D" w:rsidP="00DC4A5D">
      <w:pPr>
        <w:pStyle w:val="CabStandard"/>
        <w:tabs>
          <w:tab w:val="clear" w:pos="1004"/>
          <w:tab w:val="num" w:pos="720"/>
        </w:tabs>
        <w:ind w:left="720"/>
        <w:rPr>
          <w:rFonts w:ascii="Arial" w:hAnsi="Arial" w:cs="Arial"/>
          <w:szCs w:val="24"/>
        </w:rPr>
      </w:pPr>
      <w:r>
        <w:rPr>
          <w:rFonts w:ascii="Arial" w:hAnsi="Arial" w:cs="Arial"/>
          <w:szCs w:val="24"/>
        </w:rPr>
        <w:t>T</w:t>
      </w:r>
      <w:r w:rsidRPr="00DC4A5D">
        <w:rPr>
          <w:rFonts w:ascii="Arial" w:hAnsi="Arial" w:cs="Arial"/>
          <w:szCs w:val="24"/>
        </w:rPr>
        <w:t>he regulations have extra-territorial implications</w:t>
      </w:r>
      <w:r w:rsidR="00147D55">
        <w:rPr>
          <w:rFonts w:ascii="Arial" w:hAnsi="Arial" w:cs="Arial"/>
          <w:szCs w:val="24"/>
        </w:rPr>
        <w:t xml:space="preserve">. </w:t>
      </w:r>
      <w:r>
        <w:rPr>
          <w:rFonts w:ascii="Arial" w:hAnsi="Arial" w:cs="Arial"/>
          <w:szCs w:val="24"/>
        </w:rPr>
        <w:t>I</w:t>
      </w:r>
      <w:r w:rsidRPr="00DC4A5D">
        <w:rPr>
          <w:rFonts w:ascii="Arial" w:hAnsi="Arial" w:cs="Arial"/>
          <w:szCs w:val="24"/>
        </w:rPr>
        <w:t xml:space="preserve">f </w:t>
      </w:r>
      <w:r w:rsidR="002F1937">
        <w:rPr>
          <w:rFonts w:ascii="Arial" w:hAnsi="Arial" w:cs="Arial"/>
          <w:szCs w:val="24"/>
        </w:rPr>
        <w:t>any non-EU benchmark</w:t>
      </w:r>
      <w:r w:rsidRPr="00DC4A5D">
        <w:rPr>
          <w:rFonts w:ascii="Arial" w:hAnsi="Arial" w:cs="Arial"/>
          <w:szCs w:val="24"/>
        </w:rPr>
        <w:t xml:space="preserve"> </w:t>
      </w:r>
      <w:r w:rsidR="00F95D4A">
        <w:rPr>
          <w:rFonts w:ascii="Arial" w:hAnsi="Arial" w:cs="Arial"/>
          <w:szCs w:val="24"/>
        </w:rPr>
        <w:t xml:space="preserve">(and </w:t>
      </w:r>
      <w:r w:rsidR="00F504DE">
        <w:rPr>
          <w:rFonts w:ascii="Arial" w:hAnsi="Arial" w:cs="Arial"/>
          <w:szCs w:val="24"/>
        </w:rPr>
        <w:t xml:space="preserve">administrator providing it and </w:t>
      </w:r>
      <w:r w:rsidR="00F95D4A">
        <w:rPr>
          <w:rFonts w:ascii="Arial" w:hAnsi="Arial" w:cs="Arial"/>
          <w:szCs w:val="24"/>
        </w:rPr>
        <w:t xml:space="preserve">regulatory regime supporting it) </w:t>
      </w:r>
      <w:r w:rsidRPr="00DC4A5D">
        <w:rPr>
          <w:rFonts w:ascii="Arial" w:hAnsi="Arial" w:cs="Arial"/>
          <w:szCs w:val="24"/>
        </w:rPr>
        <w:t>do</w:t>
      </w:r>
      <w:r w:rsidR="002F1937">
        <w:rPr>
          <w:rFonts w:ascii="Arial" w:hAnsi="Arial" w:cs="Arial"/>
          <w:szCs w:val="24"/>
        </w:rPr>
        <w:t>es</w:t>
      </w:r>
      <w:r w:rsidRPr="00DC4A5D">
        <w:rPr>
          <w:rFonts w:ascii="Arial" w:hAnsi="Arial" w:cs="Arial"/>
          <w:szCs w:val="24"/>
        </w:rPr>
        <w:t xml:space="preserve"> not meet the requirements of</w:t>
      </w:r>
      <w:r w:rsidR="0007714F">
        <w:rPr>
          <w:rFonts w:ascii="Arial" w:hAnsi="Arial" w:cs="Arial"/>
          <w:szCs w:val="24"/>
        </w:rPr>
        <w:t xml:space="preserve"> the regulations, the benchmark</w:t>
      </w:r>
      <w:r w:rsidRPr="00DC4A5D">
        <w:rPr>
          <w:rFonts w:ascii="Arial" w:hAnsi="Arial" w:cs="Arial"/>
          <w:szCs w:val="24"/>
        </w:rPr>
        <w:t xml:space="preserve"> will not be able to be </w:t>
      </w:r>
      <w:r w:rsidR="00A771F7">
        <w:rPr>
          <w:rFonts w:ascii="Arial" w:hAnsi="Arial" w:cs="Arial"/>
          <w:szCs w:val="24"/>
        </w:rPr>
        <w:t>“</w:t>
      </w:r>
      <w:r w:rsidRPr="00DC4A5D">
        <w:rPr>
          <w:rFonts w:ascii="Arial" w:hAnsi="Arial" w:cs="Arial"/>
          <w:szCs w:val="24"/>
        </w:rPr>
        <w:t>used</w:t>
      </w:r>
      <w:r w:rsidR="00A771F7">
        <w:rPr>
          <w:rFonts w:ascii="Arial" w:hAnsi="Arial" w:cs="Arial"/>
          <w:szCs w:val="24"/>
        </w:rPr>
        <w:t>”</w:t>
      </w:r>
      <w:r w:rsidRPr="00DC4A5D">
        <w:rPr>
          <w:rFonts w:ascii="Arial" w:hAnsi="Arial" w:cs="Arial"/>
          <w:szCs w:val="24"/>
        </w:rPr>
        <w:t xml:space="preserve"> </w:t>
      </w:r>
      <w:r w:rsidR="002C0BA4" w:rsidRPr="00DC4A5D">
        <w:rPr>
          <w:rFonts w:ascii="Arial" w:hAnsi="Arial" w:cs="Arial"/>
          <w:szCs w:val="24"/>
        </w:rPr>
        <w:t xml:space="preserve">by any EU </w:t>
      </w:r>
      <w:r w:rsidR="00A771F7">
        <w:rPr>
          <w:rFonts w:ascii="Arial" w:hAnsi="Arial" w:cs="Arial"/>
          <w:szCs w:val="24"/>
        </w:rPr>
        <w:t>“</w:t>
      </w:r>
      <w:r w:rsidR="002C0BA4" w:rsidRPr="00DC4A5D">
        <w:rPr>
          <w:rFonts w:ascii="Arial" w:hAnsi="Arial" w:cs="Arial"/>
          <w:szCs w:val="24"/>
        </w:rPr>
        <w:t>supervised entities</w:t>
      </w:r>
      <w:r w:rsidR="00A771F7">
        <w:rPr>
          <w:rFonts w:ascii="Arial" w:hAnsi="Arial" w:cs="Arial"/>
          <w:szCs w:val="24"/>
        </w:rPr>
        <w:t>”</w:t>
      </w:r>
      <w:r w:rsidR="002C0BA4">
        <w:rPr>
          <w:rFonts w:ascii="Arial" w:hAnsi="Arial" w:cs="Arial"/>
          <w:szCs w:val="24"/>
        </w:rPr>
        <w:t>.</w:t>
      </w:r>
      <w:r w:rsidR="00BD0DFD">
        <w:rPr>
          <w:rFonts w:ascii="Arial" w:hAnsi="Arial" w:cs="Arial"/>
          <w:szCs w:val="24"/>
        </w:rPr>
        <w:t xml:space="preserve"> </w:t>
      </w:r>
      <w:r w:rsidR="00A771F7">
        <w:rPr>
          <w:rFonts w:ascii="Arial" w:hAnsi="Arial" w:cs="Arial"/>
          <w:szCs w:val="24"/>
        </w:rPr>
        <w:t xml:space="preserve">“Using” a benchmark includes referencing the benchmark in a financial contract which a </w:t>
      </w:r>
      <w:r w:rsidR="002B79AD">
        <w:rPr>
          <w:rFonts w:ascii="Arial" w:hAnsi="Arial" w:cs="Arial"/>
          <w:szCs w:val="24"/>
        </w:rPr>
        <w:t>supervised entity</w:t>
      </w:r>
      <w:r w:rsidR="00A771F7">
        <w:rPr>
          <w:rFonts w:ascii="Arial" w:hAnsi="Arial" w:cs="Arial"/>
          <w:szCs w:val="24"/>
        </w:rPr>
        <w:t xml:space="preserve"> is party to. </w:t>
      </w:r>
      <w:r w:rsidR="002B79AD">
        <w:rPr>
          <w:rFonts w:ascii="Arial" w:hAnsi="Arial" w:cs="Arial"/>
          <w:szCs w:val="24"/>
        </w:rPr>
        <w:t>“</w:t>
      </w:r>
      <w:r w:rsidR="00A771F7">
        <w:rPr>
          <w:rFonts w:ascii="Arial" w:hAnsi="Arial" w:cs="Arial"/>
          <w:szCs w:val="24"/>
        </w:rPr>
        <w:t>S</w:t>
      </w:r>
      <w:r w:rsidR="00BC4E6C">
        <w:rPr>
          <w:rFonts w:ascii="Arial" w:hAnsi="Arial" w:cs="Arial"/>
          <w:szCs w:val="24"/>
        </w:rPr>
        <w:t xml:space="preserve">upervised </w:t>
      </w:r>
      <w:r>
        <w:rPr>
          <w:rFonts w:ascii="Arial" w:hAnsi="Arial" w:cs="Arial"/>
          <w:szCs w:val="24"/>
        </w:rPr>
        <w:t>entities</w:t>
      </w:r>
      <w:r w:rsidR="002B79AD">
        <w:rPr>
          <w:rFonts w:ascii="Arial" w:hAnsi="Arial" w:cs="Arial"/>
          <w:szCs w:val="24"/>
        </w:rPr>
        <w:t>”</w:t>
      </w:r>
      <w:r>
        <w:rPr>
          <w:rFonts w:ascii="Arial" w:hAnsi="Arial" w:cs="Arial"/>
          <w:szCs w:val="24"/>
        </w:rPr>
        <w:t xml:space="preserve"> include EU banks, investment firms, insurance companies, </w:t>
      </w:r>
      <w:r w:rsidR="007A34CA">
        <w:rPr>
          <w:rFonts w:ascii="Arial" w:hAnsi="Arial" w:cs="Arial"/>
          <w:szCs w:val="24"/>
        </w:rPr>
        <w:t>pension funds and fund managers</w:t>
      </w:r>
      <w:r>
        <w:rPr>
          <w:rFonts w:ascii="Arial" w:hAnsi="Arial" w:cs="Arial"/>
          <w:szCs w:val="24"/>
        </w:rPr>
        <w:t>.</w:t>
      </w:r>
    </w:p>
    <w:p w:rsidR="00DC4A5D" w:rsidRDefault="00DC4A5D" w:rsidP="00DC4A5D">
      <w:pPr>
        <w:pStyle w:val="CabStandard"/>
        <w:tabs>
          <w:tab w:val="clear" w:pos="1004"/>
          <w:tab w:val="num" w:pos="720"/>
        </w:tabs>
        <w:ind w:left="720"/>
        <w:rPr>
          <w:rFonts w:ascii="Arial" w:hAnsi="Arial" w:cs="Arial"/>
          <w:szCs w:val="24"/>
        </w:rPr>
      </w:pPr>
      <w:r>
        <w:rPr>
          <w:rFonts w:ascii="Arial" w:hAnsi="Arial" w:cs="Arial"/>
          <w:szCs w:val="24"/>
        </w:rPr>
        <w:t xml:space="preserve">The </w:t>
      </w:r>
      <w:r w:rsidRPr="00DC4A5D">
        <w:rPr>
          <w:rFonts w:ascii="Arial" w:hAnsi="Arial" w:cs="Arial"/>
          <w:szCs w:val="24"/>
        </w:rPr>
        <w:t>EU reg</w:t>
      </w:r>
      <w:r>
        <w:rPr>
          <w:rFonts w:ascii="Arial" w:hAnsi="Arial" w:cs="Arial"/>
          <w:szCs w:val="24"/>
        </w:rPr>
        <w:t xml:space="preserve">ulations provide </w:t>
      </w:r>
      <w:r w:rsidR="00DD6527">
        <w:rPr>
          <w:rFonts w:ascii="Arial" w:hAnsi="Arial" w:cs="Arial"/>
          <w:szCs w:val="24"/>
        </w:rPr>
        <w:t>three different mechanisms of satisfying</w:t>
      </w:r>
      <w:r>
        <w:rPr>
          <w:rFonts w:ascii="Arial" w:hAnsi="Arial" w:cs="Arial"/>
          <w:szCs w:val="24"/>
        </w:rPr>
        <w:t xml:space="preserve"> the </w:t>
      </w:r>
      <w:r w:rsidR="00BC4E6C">
        <w:rPr>
          <w:rFonts w:ascii="Arial" w:hAnsi="Arial" w:cs="Arial"/>
          <w:szCs w:val="24"/>
        </w:rPr>
        <w:t xml:space="preserve">European Commission </w:t>
      </w:r>
      <w:r w:rsidRPr="00DC4A5D">
        <w:rPr>
          <w:rFonts w:ascii="Arial" w:hAnsi="Arial" w:cs="Arial"/>
          <w:szCs w:val="24"/>
        </w:rPr>
        <w:t xml:space="preserve">that standards in the </w:t>
      </w:r>
      <w:r w:rsidR="00BC4E6C">
        <w:rPr>
          <w:rFonts w:ascii="Arial" w:hAnsi="Arial" w:cs="Arial"/>
          <w:szCs w:val="24"/>
        </w:rPr>
        <w:t xml:space="preserve">EU </w:t>
      </w:r>
      <w:r w:rsidRPr="00DC4A5D">
        <w:rPr>
          <w:rFonts w:ascii="Arial" w:hAnsi="Arial" w:cs="Arial"/>
          <w:szCs w:val="24"/>
        </w:rPr>
        <w:t xml:space="preserve">regulations </w:t>
      </w:r>
      <w:r w:rsidR="00BC4E6C">
        <w:rPr>
          <w:rFonts w:ascii="Arial" w:hAnsi="Arial" w:cs="Arial"/>
          <w:szCs w:val="24"/>
        </w:rPr>
        <w:t>are being met in a third-party country</w:t>
      </w:r>
      <w:r w:rsidR="00D042D4">
        <w:rPr>
          <w:rFonts w:ascii="Arial" w:hAnsi="Arial" w:cs="Arial"/>
          <w:szCs w:val="24"/>
        </w:rPr>
        <w:t xml:space="preserve">. </w:t>
      </w:r>
      <w:r>
        <w:rPr>
          <w:rFonts w:ascii="Arial" w:hAnsi="Arial" w:cs="Arial"/>
          <w:szCs w:val="24"/>
        </w:rPr>
        <w:t xml:space="preserve">These mechanisms and their relevance to New Zealand are discussed further </w:t>
      </w:r>
      <w:r w:rsidR="00147D55">
        <w:rPr>
          <w:rFonts w:ascii="Arial" w:hAnsi="Arial" w:cs="Arial"/>
          <w:szCs w:val="24"/>
        </w:rPr>
        <w:t>below</w:t>
      </w:r>
      <w:r>
        <w:rPr>
          <w:rFonts w:ascii="Arial" w:hAnsi="Arial" w:cs="Arial"/>
          <w:szCs w:val="24"/>
        </w:rPr>
        <w:t>.</w:t>
      </w:r>
    </w:p>
    <w:p w:rsidR="00C40624" w:rsidRDefault="00C82046" w:rsidP="003150F0">
      <w:pPr>
        <w:pStyle w:val="CabStandard"/>
        <w:tabs>
          <w:tab w:val="clear" w:pos="1004"/>
          <w:tab w:val="num" w:pos="720"/>
        </w:tabs>
        <w:ind w:left="720"/>
        <w:rPr>
          <w:rFonts w:ascii="Arial" w:hAnsi="Arial" w:cs="Arial"/>
          <w:szCs w:val="24"/>
        </w:rPr>
      </w:pPr>
      <w:r w:rsidRPr="00C00DB3">
        <w:rPr>
          <w:rFonts w:ascii="Arial" w:hAnsi="Arial" w:cs="Arial"/>
          <w:szCs w:val="24"/>
        </w:rPr>
        <w:t xml:space="preserve">Most </w:t>
      </w:r>
      <w:r w:rsidR="00C00DB3">
        <w:rPr>
          <w:rFonts w:ascii="Arial" w:hAnsi="Arial" w:cs="Arial"/>
          <w:szCs w:val="24"/>
        </w:rPr>
        <w:t xml:space="preserve">of the EU regulation </w:t>
      </w:r>
      <w:r w:rsidRPr="00C00DB3">
        <w:rPr>
          <w:rFonts w:ascii="Arial" w:hAnsi="Arial" w:cs="Arial"/>
          <w:szCs w:val="24"/>
        </w:rPr>
        <w:t>requirements phase in from 1 January 2018 and take effect on 1 January 2020</w:t>
      </w:r>
      <w:r w:rsidR="00D85CE8">
        <w:rPr>
          <w:rFonts w:ascii="Arial" w:hAnsi="Arial" w:cs="Arial"/>
          <w:szCs w:val="24"/>
        </w:rPr>
        <w:t xml:space="preserve">. </w:t>
      </w:r>
      <w:r w:rsidR="00C00DB3" w:rsidRPr="00C00DB3">
        <w:rPr>
          <w:rFonts w:ascii="Arial" w:hAnsi="Arial" w:cs="Arial"/>
          <w:szCs w:val="24"/>
        </w:rPr>
        <w:t xml:space="preserve">This lengthy transition period recognises that the regulations are complex, have implications for all market participants and considerable time is needed for to plan and implement the requirements.  </w:t>
      </w:r>
    </w:p>
    <w:p w:rsidR="000D6064" w:rsidRPr="00287083" w:rsidRDefault="000D6064" w:rsidP="000D6064">
      <w:pPr>
        <w:pStyle w:val="CabStandard"/>
        <w:numPr>
          <w:ilvl w:val="0"/>
          <w:numId w:val="0"/>
        </w:numPr>
        <w:rPr>
          <w:rFonts w:ascii="Arial" w:hAnsi="Arial" w:cs="Arial"/>
          <w:i/>
          <w:szCs w:val="24"/>
        </w:rPr>
      </w:pPr>
      <w:r w:rsidRPr="00287083">
        <w:rPr>
          <w:rFonts w:ascii="Arial" w:hAnsi="Arial" w:cs="Arial"/>
          <w:i/>
          <w:szCs w:val="24"/>
        </w:rPr>
        <w:t>Benchmark administration in New Zealand</w:t>
      </w:r>
    </w:p>
    <w:p w:rsidR="0033351B" w:rsidRDefault="002113FE" w:rsidP="0033351B">
      <w:pPr>
        <w:pStyle w:val="CabStandard"/>
        <w:tabs>
          <w:tab w:val="clear" w:pos="1004"/>
          <w:tab w:val="num" w:pos="720"/>
        </w:tabs>
        <w:ind w:left="720"/>
        <w:rPr>
          <w:rFonts w:ascii="Arial" w:hAnsi="Arial" w:cs="Arial"/>
          <w:szCs w:val="24"/>
        </w:rPr>
      </w:pPr>
      <w:r w:rsidRPr="007F6322">
        <w:rPr>
          <w:rFonts w:ascii="Arial" w:hAnsi="Arial" w:cs="Arial"/>
          <w:szCs w:val="24"/>
        </w:rPr>
        <w:lastRenderedPageBreak/>
        <w:t>Benchmark administration in New Zealand is c</w:t>
      </w:r>
      <w:r>
        <w:rPr>
          <w:rFonts w:ascii="Arial" w:hAnsi="Arial" w:cs="Arial"/>
          <w:szCs w:val="24"/>
        </w:rPr>
        <w:t xml:space="preserve">arried out by the New Zealand Financial Markets Association (NZFMA). </w:t>
      </w:r>
      <w:r w:rsidR="0033351B">
        <w:rPr>
          <w:rFonts w:ascii="Arial" w:hAnsi="Arial" w:cs="Arial"/>
          <w:szCs w:val="24"/>
        </w:rPr>
        <w:t>The NZFMA</w:t>
      </w:r>
      <w:r w:rsidR="0033351B" w:rsidRPr="004805D8">
        <w:rPr>
          <w:rFonts w:ascii="Arial" w:hAnsi="Arial" w:cs="Arial"/>
          <w:szCs w:val="24"/>
        </w:rPr>
        <w:t xml:space="preserve"> </w:t>
      </w:r>
      <w:r w:rsidR="00763E3A">
        <w:rPr>
          <w:rFonts w:ascii="Arial" w:hAnsi="Arial" w:cs="Arial"/>
          <w:szCs w:val="24"/>
        </w:rPr>
        <w:t xml:space="preserve">is an independent, incorporated society that </w:t>
      </w:r>
      <w:r w:rsidR="0033351B">
        <w:rPr>
          <w:rFonts w:ascii="Arial" w:hAnsi="Arial" w:cs="Arial"/>
          <w:szCs w:val="24"/>
        </w:rPr>
        <w:t>publishes benchmarks such as the BKBM and Closing Rates, which are used by market participants in their financial instruments.</w:t>
      </w:r>
    </w:p>
    <w:p w:rsidR="002113FE" w:rsidRDefault="002113FE" w:rsidP="002113FE">
      <w:pPr>
        <w:pStyle w:val="CabStandard"/>
        <w:tabs>
          <w:tab w:val="clear" w:pos="1004"/>
          <w:tab w:val="num" w:pos="720"/>
        </w:tabs>
        <w:ind w:left="720"/>
        <w:rPr>
          <w:rFonts w:ascii="Arial" w:hAnsi="Arial" w:cs="Arial"/>
          <w:szCs w:val="24"/>
        </w:rPr>
      </w:pPr>
      <w:r w:rsidRPr="004805D8">
        <w:rPr>
          <w:rFonts w:ascii="Arial" w:hAnsi="Arial" w:cs="Arial"/>
          <w:szCs w:val="24"/>
        </w:rPr>
        <w:t xml:space="preserve">Since 2015, the </w:t>
      </w:r>
      <w:r>
        <w:rPr>
          <w:rFonts w:ascii="Arial" w:hAnsi="Arial" w:cs="Arial"/>
          <w:szCs w:val="24"/>
        </w:rPr>
        <w:t>NZFMA</w:t>
      </w:r>
      <w:r w:rsidRPr="004805D8">
        <w:rPr>
          <w:rFonts w:ascii="Arial" w:hAnsi="Arial" w:cs="Arial"/>
          <w:szCs w:val="24"/>
        </w:rPr>
        <w:t xml:space="preserve"> has </w:t>
      </w:r>
      <w:r>
        <w:rPr>
          <w:rFonts w:ascii="Arial" w:hAnsi="Arial" w:cs="Arial"/>
          <w:szCs w:val="24"/>
        </w:rPr>
        <w:t xml:space="preserve">voluntarily </w:t>
      </w:r>
      <w:r w:rsidRPr="004805D8">
        <w:rPr>
          <w:rFonts w:ascii="Arial" w:hAnsi="Arial" w:cs="Arial"/>
          <w:szCs w:val="24"/>
        </w:rPr>
        <w:t xml:space="preserve">adopted operating rules and principles aligned with the IOSCO Principles. </w:t>
      </w:r>
      <w:r>
        <w:rPr>
          <w:rFonts w:ascii="Arial" w:hAnsi="Arial" w:cs="Arial"/>
          <w:szCs w:val="24"/>
        </w:rPr>
        <w:t>The NZFMA</w:t>
      </w:r>
      <w:r w:rsidRPr="004805D8">
        <w:rPr>
          <w:rFonts w:ascii="Arial" w:hAnsi="Arial" w:cs="Arial"/>
          <w:szCs w:val="24"/>
        </w:rPr>
        <w:t xml:space="preserve"> </w:t>
      </w:r>
      <w:r>
        <w:rPr>
          <w:rFonts w:ascii="Arial" w:hAnsi="Arial" w:cs="Arial"/>
          <w:szCs w:val="24"/>
        </w:rPr>
        <w:t>is not currently required to be licensed to carry out the benchmarking function, but f</w:t>
      </w:r>
      <w:r w:rsidRPr="004805D8">
        <w:rPr>
          <w:rFonts w:ascii="Arial" w:hAnsi="Arial" w:cs="Arial"/>
          <w:szCs w:val="24"/>
        </w:rPr>
        <w:t>inancial market regulators</w:t>
      </w:r>
      <w:r>
        <w:rPr>
          <w:rFonts w:ascii="Arial" w:hAnsi="Arial" w:cs="Arial"/>
          <w:szCs w:val="24"/>
        </w:rPr>
        <w:t xml:space="preserve"> (including the </w:t>
      </w:r>
      <w:r w:rsidR="00C5485C">
        <w:rPr>
          <w:rFonts w:ascii="Arial" w:hAnsi="Arial" w:cs="Arial"/>
          <w:szCs w:val="24"/>
        </w:rPr>
        <w:t>Financial Markets Authority (</w:t>
      </w:r>
      <w:r>
        <w:rPr>
          <w:rFonts w:ascii="Arial" w:hAnsi="Arial" w:cs="Arial"/>
          <w:szCs w:val="24"/>
        </w:rPr>
        <w:t>FMA</w:t>
      </w:r>
      <w:r w:rsidR="00C5485C">
        <w:rPr>
          <w:rFonts w:ascii="Arial" w:hAnsi="Arial" w:cs="Arial"/>
          <w:szCs w:val="24"/>
        </w:rPr>
        <w:t>)</w:t>
      </w:r>
      <w:r>
        <w:rPr>
          <w:rFonts w:ascii="Arial" w:hAnsi="Arial" w:cs="Arial"/>
          <w:szCs w:val="24"/>
        </w:rPr>
        <w:t xml:space="preserve"> and Reserve Bank)</w:t>
      </w:r>
      <w:r w:rsidRPr="004805D8">
        <w:rPr>
          <w:rFonts w:ascii="Arial" w:hAnsi="Arial" w:cs="Arial"/>
          <w:szCs w:val="24"/>
        </w:rPr>
        <w:t xml:space="preserve"> participate as observers on the </w:t>
      </w:r>
      <w:r>
        <w:rPr>
          <w:rFonts w:ascii="Arial" w:hAnsi="Arial" w:cs="Arial"/>
          <w:szCs w:val="24"/>
        </w:rPr>
        <w:t>NZFMA</w:t>
      </w:r>
      <w:r w:rsidRPr="004805D8">
        <w:rPr>
          <w:rFonts w:ascii="Arial" w:hAnsi="Arial" w:cs="Arial"/>
          <w:szCs w:val="24"/>
        </w:rPr>
        <w:t>’s Benchmark Oversight Committee.</w:t>
      </w:r>
    </w:p>
    <w:p w:rsidR="002113FE" w:rsidRDefault="002113FE" w:rsidP="002113FE">
      <w:pPr>
        <w:pStyle w:val="CabStandard"/>
        <w:tabs>
          <w:tab w:val="clear" w:pos="1004"/>
          <w:tab w:val="num" w:pos="720"/>
        </w:tabs>
        <w:ind w:left="720"/>
        <w:rPr>
          <w:rFonts w:ascii="Arial" w:hAnsi="Arial" w:cs="Arial"/>
          <w:szCs w:val="24"/>
        </w:rPr>
      </w:pPr>
      <w:r>
        <w:rPr>
          <w:rFonts w:ascii="Arial" w:hAnsi="Arial" w:cs="Arial"/>
          <w:szCs w:val="24"/>
        </w:rPr>
        <w:t xml:space="preserve">The NZFMA’s benchmarking approach generally involves </w:t>
      </w:r>
      <w:r w:rsidRPr="007F6322">
        <w:rPr>
          <w:rFonts w:ascii="Arial" w:hAnsi="Arial" w:cs="Arial"/>
          <w:szCs w:val="24"/>
        </w:rPr>
        <w:t xml:space="preserve">automated processing </w:t>
      </w:r>
      <w:r>
        <w:rPr>
          <w:rFonts w:ascii="Arial" w:hAnsi="Arial" w:cs="Arial"/>
          <w:szCs w:val="24"/>
        </w:rPr>
        <w:t xml:space="preserve">of </w:t>
      </w:r>
      <w:r w:rsidRPr="007F6322">
        <w:rPr>
          <w:rFonts w:ascii="Arial" w:hAnsi="Arial" w:cs="Arial"/>
          <w:szCs w:val="24"/>
        </w:rPr>
        <w:t>information from market trading activity</w:t>
      </w:r>
      <w:r w:rsidR="00D46718">
        <w:rPr>
          <w:rFonts w:ascii="Arial" w:hAnsi="Arial" w:cs="Arial"/>
          <w:szCs w:val="24"/>
        </w:rPr>
        <w:t xml:space="preserve"> at, or close to, real time. Amongst other efficiencies, this </w:t>
      </w:r>
      <w:r w:rsidR="00B91F0C">
        <w:rPr>
          <w:rFonts w:ascii="Arial" w:hAnsi="Arial" w:cs="Arial"/>
          <w:szCs w:val="24"/>
        </w:rPr>
        <w:t xml:space="preserve">automated approach </w:t>
      </w:r>
      <w:r w:rsidR="00D46718">
        <w:rPr>
          <w:rFonts w:ascii="Arial" w:hAnsi="Arial" w:cs="Arial"/>
          <w:szCs w:val="24"/>
        </w:rPr>
        <w:t>reduces</w:t>
      </w:r>
      <w:r>
        <w:rPr>
          <w:rFonts w:ascii="Arial" w:hAnsi="Arial" w:cs="Arial"/>
          <w:szCs w:val="24"/>
        </w:rPr>
        <w:t xml:space="preserve"> the scope for manipulation</w:t>
      </w:r>
      <w:r w:rsidR="004A7516">
        <w:rPr>
          <w:rFonts w:ascii="Arial" w:hAnsi="Arial" w:cs="Arial"/>
          <w:szCs w:val="24"/>
        </w:rPr>
        <w:t xml:space="preserve"> of the benchmark</w:t>
      </w:r>
      <w:r>
        <w:rPr>
          <w:rFonts w:ascii="Arial" w:hAnsi="Arial" w:cs="Arial"/>
          <w:szCs w:val="24"/>
        </w:rPr>
        <w:t>.</w:t>
      </w:r>
    </w:p>
    <w:p w:rsidR="004805D8" w:rsidRDefault="002A42EB" w:rsidP="004805D8">
      <w:pPr>
        <w:pStyle w:val="CabStandard"/>
        <w:tabs>
          <w:tab w:val="clear" w:pos="1004"/>
          <w:tab w:val="num" w:pos="720"/>
        </w:tabs>
        <w:ind w:left="720"/>
        <w:rPr>
          <w:rFonts w:ascii="Arial" w:hAnsi="Arial" w:cs="Arial"/>
          <w:szCs w:val="24"/>
        </w:rPr>
      </w:pPr>
      <w:r w:rsidRPr="004805D8">
        <w:rPr>
          <w:rFonts w:ascii="Arial" w:hAnsi="Arial" w:cs="Arial"/>
          <w:szCs w:val="24"/>
        </w:rPr>
        <w:t>New Zealand</w:t>
      </w:r>
      <w:r w:rsidR="00FA4A69" w:rsidRPr="004805D8">
        <w:rPr>
          <w:rFonts w:ascii="Arial" w:hAnsi="Arial" w:cs="Arial"/>
          <w:szCs w:val="24"/>
        </w:rPr>
        <w:t xml:space="preserve"> </w:t>
      </w:r>
      <w:r w:rsidR="0018657A">
        <w:rPr>
          <w:rFonts w:ascii="Arial" w:hAnsi="Arial" w:cs="Arial"/>
          <w:szCs w:val="24"/>
        </w:rPr>
        <w:t xml:space="preserve">regulators have not </w:t>
      </w:r>
      <w:r w:rsidR="00766844">
        <w:rPr>
          <w:rFonts w:ascii="Arial" w:hAnsi="Arial" w:cs="Arial"/>
          <w:szCs w:val="24"/>
        </w:rPr>
        <w:t>seen</w:t>
      </w:r>
      <w:r w:rsidR="0018657A">
        <w:rPr>
          <w:rFonts w:ascii="Arial" w:hAnsi="Arial" w:cs="Arial"/>
          <w:szCs w:val="24"/>
        </w:rPr>
        <w:t xml:space="preserve"> evidence in New Zealand of the types </w:t>
      </w:r>
      <w:r w:rsidR="002B2A2C">
        <w:rPr>
          <w:rFonts w:ascii="Arial" w:hAnsi="Arial" w:cs="Arial"/>
          <w:szCs w:val="24"/>
        </w:rPr>
        <w:t xml:space="preserve">of behaviour </w:t>
      </w:r>
      <w:r w:rsidR="0018657A">
        <w:rPr>
          <w:rFonts w:ascii="Arial" w:hAnsi="Arial" w:cs="Arial"/>
          <w:szCs w:val="24"/>
        </w:rPr>
        <w:t>apparent in other jurisdictions</w:t>
      </w:r>
      <w:r w:rsidR="00784F6F">
        <w:rPr>
          <w:rFonts w:ascii="Arial" w:hAnsi="Arial" w:cs="Arial"/>
          <w:szCs w:val="24"/>
        </w:rPr>
        <w:t xml:space="preserve"> that would have been sufficient</w:t>
      </w:r>
      <w:r w:rsidR="0018657A">
        <w:rPr>
          <w:rFonts w:ascii="Arial" w:hAnsi="Arial" w:cs="Arial"/>
          <w:szCs w:val="24"/>
        </w:rPr>
        <w:t xml:space="preserve"> to take action</w:t>
      </w:r>
      <w:r w:rsidR="00784F6F">
        <w:rPr>
          <w:rFonts w:ascii="Arial" w:hAnsi="Arial" w:cs="Arial"/>
          <w:szCs w:val="24"/>
        </w:rPr>
        <w:t xml:space="preserve"> under our regulatory regime</w:t>
      </w:r>
      <w:r w:rsidR="001B21A8">
        <w:rPr>
          <w:rFonts w:ascii="Arial" w:hAnsi="Arial" w:cs="Arial"/>
          <w:szCs w:val="24"/>
        </w:rPr>
        <w:t xml:space="preserve">. </w:t>
      </w:r>
      <w:r w:rsidR="004805D8">
        <w:rPr>
          <w:rFonts w:ascii="Arial" w:hAnsi="Arial" w:cs="Arial"/>
          <w:szCs w:val="24"/>
        </w:rPr>
        <w:t xml:space="preserve">However, </w:t>
      </w:r>
      <w:r w:rsidR="007F6322">
        <w:rPr>
          <w:rFonts w:ascii="Arial" w:hAnsi="Arial" w:cs="Arial"/>
          <w:szCs w:val="24"/>
        </w:rPr>
        <w:t xml:space="preserve">as outlined </w:t>
      </w:r>
      <w:r w:rsidR="002113FE">
        <w:rPr>
          <w:rFonts w:ascii="Arial" w:hAnsi="Arial" w:cs="Arial"/>
          <w:szCs w:val="24"/>
        </w:rPr>
        <w:t>above</w:t>
      </w:r>
      <w:r w:rsidR="007F6322">
        <w:rPr>
          <w:rFonts w:ascii="Arial" w:hAnsi="Arial" w:cs="Arial"/>
          <w:szCs w:val="24"/>
        </w:rPr>
        <w:t xml:space="preserve">, </w:t>
      </w:r>
      <w:r w:rsidR="00483FB8">
        <w:rPr>
          <w:rFonts w:ascii="Arial" w:hAnsi="Arial" w:cs="Arial"/>
          <w:szCs w:val="24"/>
        </w:rPr>
        <w:t xml:space="preserve">the NZFMA has already take </w:t>
      </w:r>
      <w:r w:rsidR="004805D8" w:rsidRPr="004805D8">
        <w:rPr>
          <w:rFonts w:ascii="Arial" w:hAnsi="Arial" w:cs="Arial"/>
          <w:szCs w:val="24"/>
        </w:rPr>
        <w:t>action</w:t>
      </w:r>
      <w:r w:rsidR="004805D8">
        <w:rPr>
          <w:rFonts w:ascii="Arial" w:hAnsi="Arial" w:cs="Arial"/>
          <w:szCs w:val="24"/>
        </w:rPr>
        <w:t xml:space="preserve"> </w:t>
      </w:r>
      <w:r w:rsidR="004805D8" w:rsidRPr="004805D8">
        <w:rPr>
          <w:rFonts w:ascii="Arial" w:hAnsi="Arial" w:cs="Arial"/>
          <w:szCs w:val="24"/>
        </w:rPr>
        <w:t xml:space="preserve">to shore-up </w:t>
      </w:r>
      <w:r w:rsidR="00483FB8">
        <w:rPr>
          <w:rFonts w:ascii="Arial" w:hAnsi="Arial" w:cs="Arial"/>
          <w:szCs w:val="24"/>
        </w:rPr>
        <w:t xml:space="preserve">its </w:t>
      </w:r>
      <w:r w:rsidR="004805D8" w:rsidRPr="004805D8">
        <w:rPr>
          <w:rFonts w:ascii="Arial" w:hAnsi="Arial" w:cs="Arial"/>
          <w:szCs w:val="24"/>
        </w:rPr>
        <w:t>processes and ensure the integrity of our benchmark regime</w:t>
      </w:r>
      <w:r w:rsidR="002113FE">
        <w:rPr>
          <w:rFonts w:ascii="Arial" w:hAnsi="Arial" w:cs="Arial"/>
          <w:szCs w:val="24"/>
        </w:rPr>
        <w:t>, including voluntarily adhering to the IOSCO Principles and involving financial markets regulators as observers on the NZFMA Oversight Committee</w:t>
      </w:r>
      <w:r w:rsidR="004805D8">
        <w:rPr>
          <w:rFonts w:ascii="Arial" w:hAnsi="Arial" w:cs="Arial"/>
          <w:szCs w:val="24"/>
        </w:rPr>
        <w:t>.</w:t>
      </w:r>
      <w:r w:rsidR="004805D8" w:rsidRPr="004805D8">
        <w:rPr>
          <w:rFonts w:ascii="Arial" w:hAnsi="Arial" w:cs="Arial"/>
          <w:szCs w:val="24"/>
        </w:rPr>
        <w:t xml:space="preserve"> </w:t>
      </w:r>
    </w:p>
    <w:p w:rsidR="004805D8" w:rsidRPr="007F6322" w:rsidRDefault="004805D8" w:rsidP="007F6322">
      <w:pPr>
        <w:pStyle w:val="CabStandard"/>
        <w:tabs>
          <w:tab w:val="clear" w:pos="1004"/>
          <w:tab w:val="num" w:pos="720"/>
        </w:tabs>
        <w:ind w:left="720"/>
        <w:rPr>
          <w:rFonts w:ascii="Arial" w:hAnsi="Arial" w:cs="Arial"/>
          <w:szCs w:val="24"/>
        </w:rPr>
      </w:pPr>
      <w:r w:rsidRPr="007F6322">
        <w:rPr>
          <w:rFonts w:ascii="Arial" w:hAnsi="Arial" w:cs="Arial"/>
          <w:szCs w:val="24"/>
        </w:rPr>
        <w:t xml:space="preserve">Further information about the </w:t>
      </w:r>
      <w:r w:rsidR="002113FE">
        <w:rPr>
          <w:rFonts w:ascii="Arial" w:hAnsi="Arial" w:cs="Arial"/>
          <w:szCs w:val="24"/>
        </w:rPr>
        <w:t>NZFMA</w:t>
      </w:r>
      <w:r w:rsidR="002113FE" w:rsidRPr="004805D8">
        <w:rPr>
          <w:rFonts w:ascii="Arial" w:hAnsi="Arial" w:cs="Arial"/>
          <w:szCs w:val="24"/>
        </w:rPr>
        <w:t xml:space="preserve"> </w:t>
      </w:r>
      <w:r w:rsidRPr="007F6322">
        <w:rPr>
          <w:rFonts w:ascii="Arial" w:hAnsi="Arial" w:cs="Arial"/>
          <w:szCs w:val="24"/>
        </w:rPr>
        <w:t>and its benchmark administration approach is provided in Appendix Two.</w:t>
      </w:r>
    </w:p>
    <w:p w:rsidR="00C82B53" w:rsidRPr="00F642C6" w:rsidRDefault="00C82B53" w:rsidP="00D335DD">
      <w:pPr>
        <w:pStyle w:val="CabStandard"/>
        <w:numPr>
          <w:ilvl w:val="0"/>
          <w:numId w:val="0"/>
        </w:numPr>
        <w:rPr>
          <w:rFonts w:ascii="Arial" w:hAnsi="Arial" w:cs="Arial"/>
          <w:b/>
          <w:szCs w:val="24"/>
        </w:rPr>
      </w:pPr>
      <w:r w:rsidRPr="00F642C6">
        <w:rPr>
          <w:rFonts w:ascii="Arial" w:hAnsi="Arial" w:cs="Arial"/>
          <w:b/>
          <w:szCs w:val="24"/>
        </w:rPr>
        <w:t>Comment</w:t>
      </w:r>
    </w:p>
    <w:p w:rsidR="00F90D9F" w:rsidRPr="00287083" w:rsidRDefault="000D4C04" w:rsidP="00CF664B">
      <w:pPr>
        <w:pStyle w:val="CabStandard"/>
        <w:numPr>
          <w:ilvl w:val="0"/>
          <w:numId w:val="0"/>
        </w:numPr>
        <w:rPr>
          <w:rFonts w:ascii="Arial" w:hAnsi="Arial" w:cs="Arial"/>
          <w:i/>
          <w:szCs w:val="24"/>
        </w:rPr>
      </w:pPr>
      <w:r w:rsidRPr="00287083">
        <w:rPr>
          <w:rFonts w:ascii="Arial" w:hAnsi="Arial" w:cs="Arial"/>
          <w:i/>
          <w:szCs w:val="24"/>
        </w:rPr>
        <w:t>Implications of EU benchmark regulation</w:t>
      </w:r>
      <w:r w:rsidR="00581B50" w:rsidRPr="00287083">
        <w:rPr>
          <w:rFonts w:ascii="Arial" w:hAnsi="Arial" w:cs="Arial"/>
          <w:i/>
          <w:szCs w:val="24"/>
        </w:rPr>
        <w:t>s</w:t>
      </w:r>
      <w:r w:rsidRPr="00287083">
        <w:rPr>
          <w:rFonts w:ascii="Arial" w:hAnsi="Arial" w:cs="Arial"/>
          <w:i/>
          <w:szCs w:val="24"/>
        </w:rPr>
        <w:t xml:space="preserve"> for </w:t>
      </w:r>
      <w:r w:rsidR="000E7924" w:rsidRPr="00287083">
        <w:rPr>
          <w:rFonts w:ascii="Arial" w:hAnsi="Arial" w:cs="Arial"/>
          <w:i/>
          <w:szCs w:val="24"/>
        </w:rPr>
        <w:t>New Zealand</w:t>
      </w:r>
    </w:p>
    <w:p w:rsidR="00C03C5A" w:rsidRDefault="00C03C5A" w:rsidP="00E94D80">
      <w:pPr>
        <w:pStyle w:val="CabStandard"/>
        <w:tabs>
          <w:tab w:val="clear" w:pos="1004"/>
          <w:tab w:val="num" w:pos="720"/>
        </w:tabs>
        <w:ind w:left="720"/>
        <w:rPr>
          <w:rFonts w:ascii="Arial" w:hAnsi="Arial" w:cs="Arial"/>
          <w:szCs w:val="24"/>
        </w:rPr>
      </w:pPr>
      <w:r>
        <w:rPr>
          <w:rFonts w:ascii="Arial" w:hAnsi="Arial" w:cs="Arial"/>
          <w:szCs w:val="24"/>
        </w:rPr>
        <w:lastRenderedPageBreak/>
        <w:t>If New Zealand does not have a regulatory regime, supervisory practice and benchmark administrator that comply with the EU regulations, the benchmarks administered by th</w:t>
      </w:r>
      <w:r w:rsidR="00A771F7">
        <w:rPr>
          <w:rFonts w:ascii="Arial" w:hAnsi="Arial" w:cs="Arial"/>
          <w:szCs w:val="24"/>
        </w:rPr>
        <w:t>e NZFMA will not be able to be used</w:t>
      </w:r>
      <w:r>
        <w:rPr>
          <w:rFonts w:ascii="Arial" w:hAnsi="Arial" w:cs="Arial"/>
          <w:szCs w:val="24"/>
        </w:rPr>
        <w:t xml:space="preserve"> by EU supervised entities. This means</w:t>
      </w:r>
      <w:r w:rsidR="00480F47">
        <w:rPr>
          <w:rFonts w:ascii="Arial" w:hAnsi="Arial" w:cs="Arial"/>
          <w:szCs w:val="24"/>
        </w:rPr>
        <w:t>,</w:t>
      </w:r>
      <w:r>
        <w:rPr>
          <w:rFonts w:ascii="Arial" w:hAnsi="Arial" w:cs="Arial"/>
          <w:szCs w:val="24"/>
        </w:rPr>
        <w:t xml:space="preserve"> </w:t>
      </w:r>
      <w:r w:rsidR="00480F47">
        <w:rPr>
          <w:rFonts w:ascii="Arial" w:hAnsi="Arial" w:cs="Arial"/>
          <w:szCs w:val="24"/>
        </w:rPr>
        <w:t xml:space="preserve">in effect, that </w:t>
      </w:r>
      <w:r>
        <w:rPr>
          <w:rFonts w:ascii="Arial" w:hAnsi="Arial" w:cs="Arial"/>
          <w:szCs w:val="24"/>
        </w:rPr>
        <w:t xml:space="preserve">New Zealand </w:t>
      </w:r>
      <w:r w:rsidR="00480F47">
        <w:rPr>
          <w:rFonts w:ascii="Arial" w:hAnsi="Arial" w:cs="Arial"/>
          <w:szCs w:val="24"/>
        </w:rPr>
        <w:t xml:space="preserve">parties will not be able to contract with EU counterparties in critical derivatives contracts that reference New Zealand benchmarks like the BKBM. </w:t>
      </w:r>
    </w:p>
    <w:p w:rsidR="004B117F" w:rsidRDefault="004B117F" w:rsidP="004B117F">
      <w:pPr>
        <w:pStyle w:val="CabStandard"/>
        <w:tabs>
          <w:tab w:val="clear" w:pos="1004"/>
          <w:tab w:val="num" w:pos="720"/>
        </w:tabs>
        <w:ind w:left="720"/>
        <w:rPr>
          <w:rFonts w:ascii="Arial" w:hAnsi="Arial" w:cs="Arial"/>
          <w:szCs w:val="24"/>
        </w:rPr>
      </w:pPr>
      <w:r w:rsidRPr="004B117F">
        <w:rPr>
          <w:rFonts w:ascii="Arial" w:hAnsi="Arial" w:cs="Arial"/>
          <w:szCs w:val="24"/>
        </w:rPr>
        <w:t xml:space="preserve">This will have </w:t>
      </w:r>
      <w:r w:rsidR="003757ED">
        <w:rPr>
          <w:rFonts w:ascii="Arial" w:hAnsi="Arial" w:cs="Arial"/>
          <w:szCs w:val="24"/>
        </w:rPr>
        <w:t xml:space="preserve">very </w:t>
      </w:r>
      <w:r w:rsidRPr="004B117F">
        <w:rPr>
          <w:rFonts w:ascii="Arial" w:hAnsi="Arial" w:cs="Arial"/>
          <w:szCs w:val="24"/>
        </w:rPr>
        <w:t>significant implications for New Zealand banks and other large private and public sector organisations</w:t>
      </w:r>
      <w:r w:rsidR="008C2000">
        <w:rPr>
          <w:rFonts w:ascii="Arial" w:hAnsi="Arial" w:cs="Arial"/>
          <w:szCs w:val="24"/>
        </w:rPr>
        <w:t xml:space="preserve"> (</w:t>
      </w:r>
      <w:proofErr w:type="spellStart"/>
      <w:r w:rsidR="008C2000">
        <w:rPr>
          <w:rFonts w:ascii="Arial" w:hAnsi="Arial" w:cs="Arial"/>
          <w:szCs w:val="24"/>
        </w:rPr>
        <w:t>eg</w:t>
      </w:r>
      <w:proofErr w:type="spellEnd"/>
      <w:r w:rsidR="008C2000">
        <w:rPr>
          <w:rFonts w:ascii="Arial" w:hAnsi="Arial" w:cs="Arial"/>
          <w:szCs w:val="24"/>
        </w:rPr>
        <w:t xml:space="preserve"> Reserve Bank, ACC, NZ Super Fund, NZ Debt Management Office)</w:t>
      </w:r>
      <w:r w:rsidRPr="004B117F">
        <w:rPr>
          <w:rFonts w:ascii="Arial" w:hAnsi="Arial" w:cs="Arial"/>
          <w:szCs w:val="24"/>
        </w:rPr>
        <w:t xml:space="preserve"> that rely on these contracts and access to EU financial markets for risk management</w:t>
      </w:r>
      <w:r w:rsidR="00FF16B8">
        <w:rPr>
          <w:rFonts w:ascii="Arial" w:hAnsi="Arial" w:cs="Arial"/>
          <w:szCs w:val="24"/>
        </w:rPr>
        <w:t>, investment</w:t>
      </w:r>
      <w:r w:rsidRPr="004B117F">
        <w:rPr>
          <w:rFonts w:ascii="Arial" w:hAnsi="Arial" w:cs="Arial"/>
          <w:szCs w:val="24"/>
        </w:rPr>
        <w:t xml:space="preserve"> and capit</w:t>
      </w:r>
      <w:r>
        <w:rPr>
          <w:rFonts w:ascii="Arial" w:hAnsi="Arial" w:cs="Arial"/>
          <w:szCs w:val="24"/>
        </w:rPr>
        <w:t>al raising purposes.</w:t>
      </w:r>
      <w:r w:rsidRPr="004B117F">
        <w:rPr>
          <w:rFonts w:ascii="Arial" w:hAnsi="Arial" w:cs="Arial"/>
          <w:szCs w:val="24"/>
        </w:rPr>
        <w:t xml:space="preserve">  </w:t>
      </w:r>
    </w:p>
    <w:p w:rsidR="00E047F4" w:rsidRPr="00E047F4" w:rsidRDefault="00E047F4" w:rsidP="00D976AC">
      <w:pPr>
        <w:pStyle w:val="CabStandard"/>
        <w:tabs>
          <w:tab w:val="clear" w:pos="1004"/>
          <w:tab w:val="num" w:pos="720"/>
        </w:tabs>
        <w:ind w:left="720"/>
        <w:rPr>
          <w:rFonts w:ascii="Arial" w:hAnsi="Arial" w:cs="Arial"/>
          <w:szCs w:val="24"/>
        </w:rPr>
      </w:pPr>
      <w:r w:rsidRPr="00E047F4">
        <w:rPr>
          <w:rFonts w:ascii="Arial" w:hAnsi="Arial" w:cs="Arial"/>
          <w:szCs w:val="24"/>
        </w:rPr>
        <w:t>The big four New Zealand banks alone currently have approximately NZD$1.1 trillion</w:t>
      </w:r>
      <w:r w:rsidR="00211454">
        <w:rPr>
          <w:rFonts w:ascii="Arial" w:hAnsi="Arial" w:cs="Arial"/>
          <w:szCs w:val="24"/>
        </w:rPr>
        <w:t xml:space="preserve"> exposed to EU counterparties</w:t>
      </w:r>
      <w:r w:rsidRPr="00E047F4">
        <w:rPr>
          <w:rFonts w:ascii="Arial" w:hAnsi="Arial" w:cs="Arial"/>
          <w:szCs w:val="24"/>
        </w:rPr>
        <w:t xml:space="preserve"> </w:t>
      </w:r>
      <w:r w:rsidR="00211454">
        <w:rPr>
          <w:rFonts w:ascii="Arial" w:hAnsi="Arial" w:cs="Arial"/>
          <w:szCs w:val="24"/>
        </w:rPr>
        <w:t>(</w:t>
      </w:r>
      <w:r w:rsidRPr="00E047F4">
        <w:rPr>
          <w:rFonts w:ascii="Arial" w:hAnsi="Arial" w:cs="Arial"/>
          <w:szCs w:val="24"/>
        </w:rPr>
        <w:t>through their own requiremen</w:t>
      </w:r>
      <w:r w:rsidR="00211454">
        <w:rPr>
          <w:rFonts w:ascii="Arial" w:hAnsi="Arial" w:cs="Arial"/>
          <w:szCs w:val="24"/>
        </w:rPr>
        <w:t>ts and those of their clients)</w:t>
      </w:r>
      <w:r w:rsidR="002C5251">
        <w:rPr>
          <w:rFonts w:ascii="Arial" w:hAnsi="Arial" w:cs="Arial"/>
          <w:szCs w:val="24"/>
        </w:rPr>
        <w:t xml:space="preserve"> </w:t>
      </w:r>
      <w:r w:rsidRPr="00E047F4">
        <w:rPr>
          <w:rFonts w:ascii="Arial" w:hAnsi="Arial" w:cs="Arial"/>
          <w:szCs w:val="24"/>
        </w:rPr>
        <w:t xml:space="preserve">in instruments that reference the </w:t>
      </w:r>
      <w:r w:rsidR="002C5251">
        <w:rPr>
          <w:rFonts w:ascii="Arial" w:hAnsi="Arial" w:cs="Arial"/>
          <w:szCs w:val="24"/>
        </w:rPr>
        <w:t>BKBM</w:t>
      </w:r>
      <w:r w:rsidRPr="00E047F4">
        <w:rPr>
          <w:rFonts w:ascii="Arial" w:hAnsi="Arial" w:cs="Arial"/>
          <w:szCs w:val="24"/>
        </w:rPr>
        <w:t xml:space="preserve">. If these banks were no longer able to transact with EU counterparties, they would have to find alternative counterparties for this hedging activity. This would lead to significant liquidity reduction and credit concentration risk in the markets for relevant derivatives, leading to an overall increase in banks’ costs of funding. We estimate that this funding impact could be between </w:t>
      </w:r>
      <w:r w:rsidR="009247AE">
        <w:rPr>
          <w:rFonts w:ascii="Arial" w:hAnsi="Arial" w:cs="Arial"/>
          <w:szCs w:val="24"/>
        </w:rPr>
        <w:t>0.05</w:t>
      </w:r>
      <w:r w:rsidRPr="00E047F4">
        <w:rPr>
          <w:rFonts w:ascii="Arial" w:hAnsi="Arial" w:cs="Arial"/>
          <w:szCs w:val="24"/>
        </w:rPr>
        <w:t xml:space="preserve"> to </w:t>
      </w:r>
      <w:r w:rsidR="009247AE">
        <w:rPr>
          <w:rFonts w:ascii="Arial" w:hAnsi="Arial" w:cs="Arial"/>
          <w:szCs w:val="24"/>
        </w:rPr>
        <w:t xml:space="preserve">0.1 per cent </w:t>
      </w:r>
      <w:r w:rsidRPr="00E047F4">
        <w:rPr>
          <w:rFonts w:ascii="Arial" w:hAnsi="Arial" w:cs="Arial"/>
          <w:szCs w:val="24"/>
        </w:rPr>
        <w:t>on banks’ current outstanding exposure in BKBM-related instruments with EU counterparties. Banks would pass any increase in their cost of funding on to New Zealand domestic customers in the form of increased borrowing costs.</w:t>
      </w:r>
      <w:r w:rsidR="003B3CC0">
        <w:rPr>
          <w:rFonts w:ascii="Arial" w:hAnsi="Arial" w:cs="Arial"/>
          <w:szCs w:val="24"/>
        </w:rPr>
        <w:t xml:space="preserve"> We estimate that the net present value of these costs over a five year period could range from $760 million to $1.5 billion.</w:t>
      </w:r>
    </w:p>
    <w:p w:rsidR="00E047F4" w:rsidRPr="00E047F4" w:rsidRDefault="00E047F4" w:rsidP="00D976AC">
      <w:pPr>
        <w:pStyle w:val="CabStandard"/>
        <w:tabs>
          <w:tab w:val="clear" w:pos="1004"/>
          <w:tab w:val="num" w:pos="720"/>
        </w:tabs>
        <w:ind w:left="720"/>
        <w:rPr>
          <w:rFonts w:ascii="Arial" w:hAnsi="Arial" w:cs="Arial"/>
          <w:szCs w:val="24"/>
        </w:rPr>
      </w:pPr>
      <w:r w:rsidRPr="00E047F4">
        <w:rPr>
          <w:rFonts w:ascii="Arial" w:hAnsi="Arial" w:cs="Arial"/>
          <w:szCs w:val="24"/>
        </w:rPr>
        <w:t xml:space="preserve">Other key public sector entities, such as the Reserve Bank, ACC, New Zealand Super Fund and New Zealand Debt Management Office also use instruments that reference the BKBM. Some of these transactions will be with EU </w:t>
      </w:r>
      <w:r w:rsidRPr="00E047F4">
        <w:rPr>
          <w:rFonts w:ascii="Arial" w:hAnsi="Arial" w:cs="Arial"/>
          <w:szCs w:val="24"/>
        </w:rPr>
        <w:lastRenderedPageBreak/>
        <w:t xml:space="preserve">counterparties </w:t>
      </w:r>
      <w:r>
        <w:rPr>
          <w:rFonts w:ascii="Arial" w:hAnsi="Arial" w:cs="Arial"/>
          <w:szCs w:val="24"/>
        </w:rPr>
        <w:t xml:space="preserve">and </w:t>
      </w:r>
      <w:r w:rsidRPr="00E047F4">
        <w:rPr>
          <w:rFonts w:ascii="Arial" w:hAnsi="Arial" w:cs="Arial"/>
          <w:szCs w:val="24"/>
        </w:rPr>
        <w:t>would be significantly affected by the EU regulations. We do not have estimates of the extent to which they might be impacted.</w:t>
      </w:r>
    </w:p>
    <w:p w:rsidR="00E047F4" w:rsidRPr="00E047F4" w:rsidRDefault="00E047F4" w:rsidP="00D976AC">
      <w:pPr>
        <w:pStyle w:val="CabStandard"/>
        <w:tabs>
          <w:tab w:val="clear" w:pos="1004"/>
          <w:tab w:val="num" w:pos="720"/>
        </w:tabs>
        <w:ind w:left="720"/>
        <w:rPr>
          <w:rFonts w:ascii="Arial" w:hAnsi="Arial" w:cs="Arial"/>
          <w:szCs w:val="24"/>
        </w:rPr>
      </w:pPr>
      <w:r w:rsidRPr="00E047F4">
        <w:rPr>
          <w:rFonts w:ascii="Arial" w:hAnsi="Arial" w:cs="Arial"/>
          <w:szCs w:val="24"/>
        </w:rPr>
        <w:t>From a wider market perspective, removal of EU entities from BKBM-related instruments will reduce liquidity and participation in other NZD financial products, including forwards, foreign exchange contracts, inflation bonds and kauri bonds. This may inhibit the development of New Zealand’s capital markets. EU holders of New Zealand Government bonds and New Zealand Local Government Funding Agency bonds will also be impacted due to their reduced ability to hedge NZD interest rate risk through interest rate swaps referencing BKBM. This would potentially r</w:t>
      </w:r>
      <w:r w:rsidR="00D13F13">
        <w:rPr>
          <w:rFonts w:ascii="Arial" w:hAnsi="Arial" w:cs="Arial"/>
          <w:szCs w:val="24"/>
        </w:rPr>
        <w:t>educe their appetite to hold NZD-</w:t>
      </w:r>
      <w:r w:rsidRPr="00E047F4">
        <w:rPr>
          <w:rFonts w:ascii="Arial" w:hAnsi="Arial" w:cs="Arial"/>
          <w:szCs w:val="24"/>
        </w:rPr>
        <w:t>denominated debt including that issued by the New Zealand Debt Management Office.</w:t>
      </w:r>
    </w:p>
    <w:p w:rsidR="00BF37EC" w:rsidRPr="00BF37EC" w:rsidRDefault="00E047F4" w:rsidP="00D976AC">
      <w:pPr>
        <w:pStyle w:val="CabStandard"/>
        <w:tabs>
          <w:tab w:val="clear" w:pos="1004"/>
          <w:tab w:val="num" w:pos="720"/>
        </w:tabs>
        <w:ind w:left="720"/>
        <w:rPr>
          <w:rFonts w:ascii="Arial" w:hAnsi="Arial" w:cs="Arial"/>
          <w:szCs w:val="24"/>
        </w:rPr>
      </w:pPr>
      <w:r w:rsidRPr="00E047F4">
        <w:rPr>
          <w:rFonts w:ascii="Arial" w:hAnsi="Arial" w:cs="Arial"/>
          <w:szCs w:val="24"/>
        </w:rPr>
        <w:t xml:space="preserve">Overall, therefore, loss of EU market access could have a very significant impact on NZ Inc. </w:t>
      </w:r>
    </w:p>
    <w:p w:rsidR="00C00DB3" w:rsidRPr="00287083" w:rsidRDefault="00747839" w:rsidP="00B77A57">
      <w:pPr>
        <w:pStyle w:val="CabStandard"/>
        <w:numPr>
          <w:ilvl w:val="0"/>
          <w:numId w:val="0"/>
        </w:numPr>
        <w:rPr>
          <w:rFonts w:ascii="Arial" w:hAnsi="Arial" w:cs="Arial"/>
          <w:szCs w:val="24"/>
        </w:rPr>
      </w:pPr>
      <w:r w:rsidRPr="00287083">
        <w:rPr>
          <w:rFonts w:ascii="Arial" w:hAnsi="Arial" w:cs="Arial"/>
          <w:i/>
          <w:szCs w:val="24"/>
        </w:rPr>
        <w:t xml:space="preserve">Achieving compliance </w:t>
      </w:r>
      <w:r w:rsidR="00F72EAA" w:rsidRPr="00287083">
        <w:rPr>
          <w:rFonts w:ascii="Arial" w:hAnsi="Arial" w:cs="Arial"/>
          <w:i/>
          <w:szCs w:val="24"/>
        </w:rPr>
        <w:t>with EU regulations</w:t>
      </w:r>
      <w:r w:rsidR="00B77A57" w:rsidRPr="00287083">
        <w:rPr>
          <w:rFonts w:ascii="Arial" w:hAnsi="Arial" w:cs="Arial"/>
          <w:szCs w:val="24"/>
        </w:rPr>
        <w:t xml:space="preserve"> </w:t>
      </w:r>
    </w:p>
    <w:p w:rsidR="00D042D4" w:rsidRDefault="00D17987" w:rsidP="003150F0">
      <w:pPr>
        <w:pStyle w:val="CabStandard"/>
        <w:tabs>
          <w:tab w:val="clear" w:pos="1004"/>
          <w:tab w:val="num" w:pos="720"/>
        </w:tabs>
        <w:ind w:left="720"/>
        <w:rPr>
          <w:rFonts w:ascii="Arial" w:hAnsi="Arial" w:cs="Arial"/>
          <w:szCs w:val="24"/>
        </w:rPr>
      </w:pPr>
      <w:r>
        <w:rPr>
          <w:rFonts w:ascii="Arial" w:hAnsi="Arial" w:cs="Arial"/>
          <w:szCs w:val="24"/>
        </w:rPr>
        <w:t>To ensure</w:t>
      </w:r>
      <w:r w:rsidR="00FF36F2">
        <w:rPr>
          <w:rFonts w:ascii="Arial" w:hAnsi="Arial" w:cs="Arial"/>
          <w:szCs w:val="24"/>
        </w:rPr>
        <w:t xml:space="preserve"> compliance with the EU regulations and</w:t>
      </w:r>
      <w:r w:rsidR="00DA24A7">
        <w:rPr>
          <w:rFonts w:ascii="Arial" w:hAnsi="Arial" w:cs="Arial"/>
          <w:szCs w:val="24"/>
        </w:rPr>
        <w:t xml:space="preserve"> </w:t>
      </w:r>
      <w:r w:rsidR="00FF36F2">
        <w:rPr>
          <w:rFonts w:ascii="Arial" w:hAnsi="Arial" w:cs="Arial"/>
          <w:szCs w:val="24"/>
        </w:rPr>
        <w:t>continued</w:t>
      </w:r>
      <w:r w:rsidR="00DA24A7">
        <w:rPr>
          <w:rFonts w:ascii="Arial" w:hAnsi="Arial" w:cs="Arial"/>
          <w:szCs w:val="24"/>
        </w:rPr>
        <w:t xml:space="preserve"> access</w:t>
      </w:r>
      <w:r w:rsidR="004B6C09">
        <w:rPr>
          <w:rFonts w:ascii="Arial" w:hAnsi="Arial" w:cs="Arial"/>
          <w:szCs w:val="24"/>
        </w:rPr>
        <w:t xml:space="preserve"> to</w:t>
      </w:r>
      <w:r w:rsidR="00DA24A7">
        <w:rPr>
          <w:rFonts w:ascii="Arial" w:hAnsi="Arial" w:cs="Arial"/>
          <w:szCs w:val="24"/>
        </w:rPr>
        <w:t xml:space="preserve"> EU financial markets, we</w:t>
      </w:r>
      <w:r w:rsidR="003F5664">
        <w:rPr>
          <w:rFonts w:ascii="Arial" w:hAnsi="Arial" w:cs="Arial"/>
          <w:szCs w:val="24"/>
        </w:rPr>
        <w:t xml:space="preserve"> therefore</w:t>
      </w:r>
      <w:r w:rsidR="00DA24A7">
        <w:rPr>
          <w:rFonts w:ascii="Arial" w:hAnsi="Arial" w:cs="Arial"/>
          <w:szCs w:val="24"/>
        </w:rPr>
        <w:t xml:space="preserve"> </w:t>
      </w:r>
      <w:r w:rsidR="002A0158">
        <w:rPr>
          <w:rFonts w:ascii="Arial" w:hAnsi="Arial" w:cs="Arial"/>
          <w:szCs w:val="24"/>
        </w:rPr>
        <w:t>need to</w:t>
      </w:r>
      <w:r w:rsidR="00DA24A7">
        <w:rPr>
          <w:rFonts w:ascii="Arial" w:hAnsi="Arial" w:cs="Arial"/>
          <w:szCs w:val="24"/>
        </w:rPr>
        <w:t xml:space="preserve"> </w:t>
      </w:r>
      <w:r w:rsidR="00DA24A7" w:rsidRPr="000252A6">
        <w:rPr>
          <w:rFonts w:ascii="Arial" w:hAnsi="Arial" w:cs="Arial"/>
          <w:szCs w:val="24"/>
        </w:rPr>
        <w:t>establish a regulatory regime</w:t>
      </w:r>
      <w:r w:rsidR="00DA24A7">
        <w:rPr>
          <w:rFonts w:ascii="Arial" w:hAnsi="Arial" w:cs="Arial"/>
          <w:szCs w:val="24"/>
        </w:rPr>
        <w:t xml:space="preserve"> for benchmark administration in New Zealand</w:t>
      </w:r>
      <w:r>
        <w:rPr>
          <w:rFonts w:ascii="Arial" w:hAnsi="Arial" w:cs="Arial"/>
          <w:szCs w:val="24"/>
        </w:rPr>
        <w:t xml:space="preserve"> </w:t>
      </w:r>
      <w:r w:rsidR="003111F8">
        <w:rPr>
          <w:rFonts w:ascii="Arial" w:hAnsi="Arial" w:cs="Arial"/>
          <w:szCs w:val="24"/>
        </w:rPr>
        <w:t xml:space="preserve">that </w:t>
      </w:r>
      <w:r w:rsidR="006D6735">
        <w:rPr>
          <w:rFonts w:ascii="Arial" w:hAnsi="Arial" w:cs="Arial"/>
          <w:szCs w:val="24"/>
        </w:rPr>
        <w:t>complies</w:t>
      </w:r>
      <w:r w:rsidR="00BD1C4C">
        <w:rPr>
          <w:rFonts w:ascii="Arial" w:hAnsi="Arial" w:cs="Arial"/>
          <w:szCs w:val="24"/>
        </w:rPr>
        <w:t xml:space="preserve"> with the EU regulations. </w:t>
      </w:r>
    </w:p>
    <w:p w:rsidR="006D6735" w:rsidRDefault="00D042D4" w:rsidP="00D042D4">
      <w:pPr>
        <w:pStyle w:val="CabStandard"/>
        <w:tabs>
          <w:tab w:val="clear" w:pos="1004"/>
          <w:tab w:val="num" w:pos="720"/>
        </w:tabs>
        <w:ind w:left="720"/>
        <w:rPr>
          <w:rFonts w:ascii="Arial" w:hAnsi="Arial" w:cs="Arial"/>
          <w:szCs w:val="24"/>
        </w:rPr>
      </w:pPr>
      <w:r>
        <w:rPr>
          <w:rFonts w:ascii="Arial" w:hAnsi="Arial" w:cs="Arial"/>
          <w:szCs w:val="24"/>
        </w:rPr>
        <w:t xml:space="preserve">As noted above, the EU regulations provide for three mechanisms </w:t>
      </w:r>
      <w:r w:rsidRPr="00DC4A5D">
        <w:rPr>
          <w:rFonts w:ascii="Arial" w:hAnsi="Arial" w:cs="Arial"/>
          <w:szCs w:val="24"/>
        </w:rPr>
        <w:t xml:space="preserve">to satisfy </w:t>
      </w:r>
      <w:r>
        <w:rPr>
          <w:rFonts w:ascii="Arial" w:hAnsi="Arial" w:cs="Arial"/>
          <w:szCs w:val="24"/>
        </w:rPr>
        <w:t xml:space="preserve">the European Commission </w:t>
      </w:r>
      <w:r w:rsidRPr="00DC4A5D">
        <w:rPr>
          <w:rFonts w:ascii="Arial" w:hAnsi="Arial" w:cs="Arial"/>
          <w:szCs w:val="24"/>
        </w:rPr>
        <w:t xml:space="preserve">that standards in the </w:t>
      </w:r>
      <w:r>
        <w:rPr>
          <w:rFonts w:ascii="Arial" w:hAnsi="Arial" w:cs="Arial"/>
          <w:szCs w:val="24"/>
        </w:rPr>
        <w:t xml:space="preserve">EU </w:t>
      </w:r>
      <w:r w:rsidRPr="00DC4A5D">
        <w:rPr>
          <w:rFonts w:ascii="Arial" w:hAnsi="Arial" w:cs="Arial"/>
          <w:szCs w:val="24"/>
        </w:rPr>
        <w:t xml:space="preserve">regulations </w:t>
      </w:r>
      <w:r w:rsidR="006D6735">
        <w:rPr>
          <w:rFonts w:ascii="Arial" w:hAnsi="Arial" w:cs="Arial"/>
          <w:szCs w:val="24"/>
        </w:rPr>
        <w:t xml:space="preserve">are being met. These are seeking “equivalence”, “endorsement” or “recognition”. </w:t>
      </w:r>
    </w:p>
    <w:p w:rsidR="00D042D4" w:rsidRPr="006D6735" w:rsidRDefault="00D042D4" w:rsidP="006D6735">
      <w:pPr>
        <w:pStyle w:val="CabStandard"/>
        <w:tabs>
          <w:tab w:val="clear" w:pos="1004"/>
          <w:tab w:val="num" w:pos="720"/>
        </w:tabs>
        <w:ind w:left="720"/>
        <w:rPr>
          <w:rFonts w:ascii="Arial" w:hAnsi="Arial" w:cs="Arial"/>
          <w:szCs w:val="24"/>
        </w:rPr>
      </w:pPr>
      <w:bookmarkStart w:id="2" w:name="_Ref519258487"/>
      <w:r>
        <w:rPr>
          <w:rFonts w:ascii="Arial" w:hAnsi="Arial" w:cs="Arial"/>
          <w:szCs w:val="24"/>
        </w:rPr>
        <w:t>The most appropriate mechanism for New Zealand to follow is to seek “equivalence”</w:t>
      </w:r>
      <w:r w:rsidR="00F80091">
        <w:rPr>
          <w:rFonts w:ascii="Arial" w:hAnsi="Arial" w:cs="Arial"/>
          <w:szCs w:val="24"/>
        </w:rPr>
        <w:t xml:space="preserve"> with the EU regulations</w:t>
      </w:r>
      <w:r w:rsidR="006D6735">
        <w:rPr>
          <w:rFonts w:ascii="Arial" w:hAnsi="Arial" w:cs="Arial"/>
          <w:szCs w:val="24"/>
        </w:rPr>
        <w:t xml:space="preserve">. </w:t>
      </w:r>
      <w:r w:rsidR="006D6735" w:rsidRPr="006D6735">
        <w:rPr>
          <w:rFonts w:ascii="Arial" w:hAnsi="Arial" w:cs="Arial"/>
          <w:szCs w:val="24"/>
        </w:rPr>
        <w:t>This essentially</w:t>
      </w:r>
      <w:r w:rsidRPr="006D6735">
        <w:rPr>
          <w:rFonts w:ascii="Arial" w:hAnsi="Arial" w:cs="Arial"/>
          <w:szCs w:val="24"/>
        </w:rPr>
        <w:t xml:space="preserve"> involve</w:t>
      </w:r>
      <w:r w:rsidR="00803B52">
        <w:rPr>
          <w:rFonts w:ascii="Arial" w:hAnsi="Arial" w:cs="Arial"/>
          <w:szCs w:val="24"/>
        </w:rPr>
        <w:t>s</w:t>
      </w:r>
      <w:r w:rsidRPr="006D6735">
        <w:rPr>
          <w:rFonts w:ascii="Arial" w:hAnsi="Arial" w:cs="Arial"/>
          <w:szCs w:val="24"/>
        </w:rPr>
        <w:t xml:space="preserve"> consideration </w:t>
      </w:r>
      <w:r w:rsidR="006D6735" w:rsidRPr="006D6735">
        <w:rPr>
          <w:rFonts w:ascii="Arial" w:hAnsi="Arial" w:cs="Arial"/>
          <w:szCs w:val="24"/>
        </w:rPr>
        <w:t xml:space="preserve">by the European Commission </w:t>
      </w:r>
      <w:r w:rsidRPr="006D6735">
        <w:rPr>
          <w:rFonts w:ascii="Arial" w:hAnsi="Arial" w:cs="Arial"/>
          <w:szCs w:val="24"/>
        </w:rPr>
        <w:t>of the legal framework and supervisory practice of a third country and how that ensures:</w:t>
      </w:r>
      <w:bookmarkEnd w:id="2"/>
    </w:p>
    <w:p w:rsidR="00D042D4" w:rsidRDefault="00D042D4" w:rsidP="00D042D4">
      <w:pPr>
        <w:pStyle w:val="CabStandard"/>
        <w:numPr>
          <w:ilvl w:val="1"/>
          <w:numId w:val="1"/>
        </w:numPr>
        <w:rPr>
          <w:rFonts w:ascii="Arial" w:hAnsi="Arial" w:cs="Arial"/>
          <w:szCs w:val="24"/>
        </w:rPr>
      </w:pPr>
      <w:r>
        <w:rPr>
          <w:rFonts w:ascii="Arial" w:hAnsi="Arial" w:cs="Arial"/>
          <w:szCs w:val="24"/>
        </w:rPr>
        <w:lastRenderedPageBreak/>
        <w:t xml:space="preserve">benchmark </w:t>
      </w:r>
      <w:r w:rsidRPr="00E0558D">
        <w:rPr>
          <w:rFonts w:ascii="Arial" w:hAnsi="Arial" w:cs="Arial"/>
          <w:szCs w:val="24"/>
        </w:rPr>
        <w:t xml:space="preserve">administrators comply with binding requirements equivalent to the </w:t>
      </w:r>
      <w:r>
        <w:rPr>
          <w:rFonts w:ascii="Arial" w:hAnsi="Arial" w:cs="Arial"/>
          <w:szCs w:val="24"/>
        </w:rPr>
        <w:t xml:space="preserve">EU regulations (including </w:t>
      </w:r>
      <w:r w:rsidR="004B6C09">
        <w:rPr>
          <w:rFonts w:ascii="Arial" w:hAnsi="Arial" w:cs="Arial"/>
          <w:szCs w:val="24"/>
        </w:rPr>
        <w:t>compliance with the IOSCO P</w:t>
      </w:r>
      <w:r w:rsidRPr="00E0558D">
        <w:rPr>
          <w:rFonts w:ascii="Arial" w:hAnsi="Arial" w:cs="Arial"/>
          <w:szCs w:val="24"/>
        </w:rPr>
        <w:t>rinciples</w:t>
      </w:r>
      <w:r w:rsidR="00803B52">
        <w:rPr>
          <w:rFonts w:ascii="Arial" w:hAnsi="Arial" w:cs="Arial"/>
          <w:szCs w:val="24"/>
        </w:rPr>
        <w:t>)</w:t>
      </w:r>
      <w:r>
        <w:rPr>
          <w:rFonts w:ascii="Arial" w:hAnsi="Arial" w:cs="Arial"/>
          <w:szCs w:val="24"/>
        </w:rPr>
        <w:t xml:space="preserve"> and</w:t>
      </w:r>
    </w:p>
    <w:p w:rsidR="00D042D4" w:rsidRPr="00E0558D" w:rsidRDefault="00D042D4" w:rsidP="00D042D4">
      <w:pPr>
        <w:pStyle w:val="CabStandard"/>
        <w:numPr>
          <w:ilvl w:val="1"/>
          <w:numId w:val="1"/>
        </w:numPr>
        <w:rPr>
          <w:rFonts w:ascii="Arial" w:hAnsi="Arial" w:cs="Arial"/>
          <w:szCs w:val="24"/>
        </w:rPr>
      </w:pPr>
      <w:proofErr w:type="gramStart"/>
      <w:r w:rsidRPr="00E0558D">
        <w:rPr>
          <w:rFonts w:ascii="Arial" w:hAnsi="Arial" w:cs="Arial"/>
          <w:szCs w:val="24"/>
        </w:rPr>
        <w:t>effective</w:t>
      </w:r>
      <w:proofErr w:type="gramEnd"/>
      <w:r w:rsidRPr="00E0558D">
        <w:rPr>
          <w:rFonts w:ascii="Arial" w:hAnsi="Arial" w:cs="Arial"/>
          <w:szCs w:val="24"/>
        </w:rPr>
        <w:t xml:space="preserve"> super</w:t>
      </w:r>
      <w:r>
        <w:rPr>
          <w:rFonts w:ascii="Arial" w:hAnsi="Arial" w:cs="Arial"/>
          <w:szCs w:val="24"/>
        </w:rPr>
        <w:t xml:space="preserve">vision and enforcement </w:t>
      </w:r>
      <w:r w:rsidR="00E838EF">
        <w:rPr>
          <w:rFonts w:ascii="Arial" w:hAnsi="Arial" w:cs="Arial"/>
          <w:szCs w:val="24"/>
        </w:rPr>
        <w:t xml:space="preserve">of the benchmark administrator by a competent regulatory authority </w:t>
      </w:r>
      <w:r>
        <w:rPr>
          <w:rFonts w:ascii="Arial" w:hAnsi="Arial" w:cs="Arial"/>
          <w:szCs w:val="24"/>
        </w:rPr>
        <w:t>on an on</w:t>
      </w:r>
      <w:r w:rsidRPr="00E0558D">
        <w:rPr>
          <w:rFonts w:ascii="Arial" w:hAnsi="Arial" w:cs="Arial"/>
          <w:szCs w:val="24"/>
        </w:rPr>
        <w:t>g</w:t>
      </w:r>
      <w:r>
        <w:rPr>
          <w:rFonts w:ascii="Arial" w:hAnsi="Arial" w:cs="Arial"/>
          <w:szCs w:val="24"/>
        </w:rPr>
        <w:t>oing basis</w:t>
      </w:r>
      <w:r w:rsidRPr="00E0558D">
        <w:rPr>
          <w:rFonts w:ascii="Arial" w:hAnsi="Arial" w:cs="Arial"/>
          <w:szCs w:val="24"/>
        </w:rPr>
        <w:t>.</w:t>
      </w:r>
    </w:p>
    <w:p w:rsidR="000D120D" w:rsidRDefault="00E838EF" w:rsidP="004C6776">
      <w:pPr>
        <w:pStyle w:val="CabStandard"/>
        <w:tabs>
          <w:tab w:val="clear" w:pos="1004"/>
          <w:tab w:val="num" w:pos="720"/>
        </w:tabs>
        <w:ind w:left="720"/>
        <w:rPr>
          <w:rFonts w:ascii="Arial" w:hAnsi="Arial" w:cs="Arial"/>
          <w:szCs w:val="24"/>
        </w:rPr>
      </w:pPr>
      <w:r>
        <w:rPr>
          <w:rFonts w:ascii="Arial" w:hAnsi="Arial" w:cs="Arial"/>
          <w:szCs w:val="24"/>
        </w:rPr>
        <w:t xml:space="preserve">The endorsement and </w:t>
      </w:r>
      <w:r w:rsidR="004C6776" w:rsidRPr="004C6776">
        <w:rPr>
          <w:rFonts w:ascii="Arial" w:hAnsi="Arial" w:cs="Arial"/>
          <w:szCs w:val="24"/>
        </w:rPr>
        <w:t>recognition</w:t>
      </w:r>
      <w:r>
        <w:rPr>
          <w:rFonts w:ascii="Arial" w:hAnsi="Arial" w:cs="Arial"/>
          <w:szCs w:val="24"/>
        </w:rPr>
        <w:t xml:space="preserve"> mechanisms are not feasible or appropriate for New Zealand or the NZFMA. </w:t>
      </w:r>
    </w:p>
    <w:p w:rsidR="004C6776" w:rsidRDefault="00E838EF" w:rsidP="000D120D">
      <w:pPr>
        <w:pStyle w:val="CabStandard"/>
        <w:numPr>
          <w:ilvl w:val="1"/>
          <w:numId w:val="1"/>
        </w:numPr>
        <w:rPr>
          <w:rFonts w:ascii="Arial" w:hAnsi="Arial" w:cs="Arial"/>
          <w:szCs w:val="24"/>
        </w:rPr>
      </w:pPr>
      <w:r>
        <w:rPr>
          <w:rFonts w:ascii="Arial" w:hAnsi="Arial" w:cs="Arial"/>
          <w:szCs w:val="24"/>
        </w:rPr>
        <w:t xml:space="preserve">Endorsement </w:t>
      </w:r>
      <w:r w:rsidR="000D120D">
        <w:rPr>
          <w:rFonts w:ascii="Arial" w:hAnsi="Arial" w:cs="Arial"/>
          <w:szCs w:val="24"/>
        </w:rPr>
        <w:t xml:space="preserve">would require </w:t>
      </w:r>
      <w:r w:rsidR="008912F9">
        <w:rPr>
          <w:rFonts w:ascii="Arial" w:hAnsi="Arial" w:cs="Arial"/>
          <w:szCs w:val="24"/>
        </w:rPr>
        <w:t xml:space="preserve">having </w:t>
      </w:r>
      <w:r w:rsidR="002B47E8">
        <w:rPr>
          <w:rFonts w:ascii="Arial" w:hAnsi="Arial" w:cs="Arial"/>
          <w:szCs w:val="24"/>
        </w:rPr>
        <w:t xml:space="preserve">an entity </w:t>
      </w:r>
      <w:r w:rsidR="000D120D">
        <w:rPr>
          <w:rFonts w:ascii="Arial" w:hAnsi="Arial" w:cs="Arial"/>
          <w:szCs w:val="24"/>
        </w:rPr>
        <w:t xml:space="preserve">based in the EU </w:t>
      </w:r>
      <w:r w:rsidR="002B47E8">
        <w:rPr>
          <w:rFonts w:ascii="Arial" w:hAnsi="Arial" w:cs="Arial"/>
          <w:szCs w:val="24"/>
        </w:rPr>
        <w:t xml:space="preserve">(such as another benchmark administrator) </w:t>
      </w:r>
      <w:r w:rsidR="000D120D">
        <w:rPr>
          <w:rFonts w:ascii="Arial" w:hAnsi="Arial" w:cs="Arial"/>
          <w:szCs w:val="24"/>
        </w:rPr>
        <w:t xml:space="preserve">to </w:t>
      </w:r>
      <w:r w:rsidR="006E6F0C">
        <w:rPr>
          <w:rFonts w:ascii="Arial" w:hAnsi="Arial" w:cs="Arial"/>
          <w:szCs w:val="24"/>
        </w:rPr>
        <w:t xml:space="preserve">be part of the control and administration framework of the NZFMA </w:t>
      </w:r>
      <w:r w:rsidR="002B47E8">
        <w:rPr>
          <w:rFonts w:ascii="Arial" w:hAnsi="Arial" w:cs="Arial"/>
          <w:szCs w:val="24"/>
        </w:rPr>
        <w:t xml:space="preserve">and </w:t>
      </w:r>
      <w:r w:rsidR="006E6F0C">
        <w:rPr>
          <w:rFonts w:ascii="Arial" w:hAnsi="Arial" w:cs="Arial"/>
          <w:szCs w:val="24"/>
        </w:rPr>
        <w:t>to</w:t>
      </w:r>
      <w:r w:rsidR="008912F9">
        <w:rPr>
          <w:rFonts w:ascii="Arial" w:hAnsi="Arial" w:cs="Arial"/>
          <w:szCs w:val="24"/>
        </w:rPr>
        <w:t xml:space="preserve"> effectively</w:t>
      </w:r>
      <w:r w:rsidR="006E6F0C">
        <w:rPr>
          <w:rFonts w:ascii="Arial" w:hAnsi="Arial" w:cs="Arial"/>
          <w:szCs w:val="24"/>
        </w:rPr>
        <w:t xml:space="preserve"> </w:t>
      </w:r>
      <w:r w:rsidR="000D120D">
        <w:rPr>
          <w:rFonts w:ascii="Arial" w:hAnsi="Arial" w:cs="Arial"/>
          <w:szCs w:val="24"/>
        </w:rPr>
        <w:t xml:space="preserve">monitor the benchmark process followed by the NZFMA. </w:t>
      </w:r>
      <w:r w:rsidR="006E6F0C">
        <w:rPr>
          <w:rFonts w:ascii="Arial" w:hAnsi="Arial" w:cs="Arial"/>
          <w:szCs w:val="24"/>
        </w:rPr>
        <w:t>Due to distance and different time zones</w:t>
      </w:r>
      <w:r w:rsidR="002B47E8">
        <w:rPr>
          <w:rFonts w:ascii="Arial" w:hAnsi="Arial" w:cs="Arial"/>
          <w:szCs w:val="24"/>
        </w:rPr>
        <w:t xml:space="preserve"> and the practical difficulties of finding such an entity to conduct this monitoring role</w:t>
      </w:r>
      <w:r w:rsidR="006E6F0C">
        <w:rPr>
          <w:rFonts w:ascii="Arial" w:hAnsi="Arial" w:cs="Arial"/>
          <w:szCs w:val="24"/>
        </w:rPr>
        <w:t>, t</w:t>
      </w:r>
      <w:r w:rsidR="000D120D">
        <w:rPr>
          <w:rFonts w:ascii="Arial" w:hAnsi="Arial" w:cs="Arial"/>
          <w:szCs w:val="24"/>
        </w:rPr>
        <w:t xml:space="preserve">his would involve a </w:t>
      </w:r>
      <w:r w:rsidR="000D120D" w:rsidRPr="00AF52BF">
        <w:rPr>
          <w:rFonts w:ascii="Arial" w:hAnsi="Arial" w:cs="Arial"/>
          <w:szCs w:val="24"/>
        </w:rPr>
        <w:t xml:space="preserve">substantial and costly restructure of the way in which </w:t>
      </w:r>
      <w:r w:rsidR="006E6F0C">
        <w:rPr>
          <w:rFonts w:ascii="Arial" w:hAnsi="Arial" w:cs="Arial"/>
          <w:szCs w:val="24"/>
        </w:rPr>
        <w:t xml:space="preserve">the NZFMA provides its </w:t>
      </w:r>
      <w:r w:rsidR="000D120D" w:rsidRPr="00AF52BF">
        <w:rPr>
          <w:rFonts w:ascii="Arial" w:hAnsi="Arial" w:cs="Arial"/>
          <w:szCs w:val="24"/>
        </w:rPr>
        <w:t>benchmark</w:t>
      </w:r>
      <w:r w:rsidR="008912F9">
        <w:rPr>
          <w:rFonts w:ascii="Arial" w:hAnsi="Arial" w:cs="Arial"/>
          <w:szCs w:val="24"/>
        </w:rPr>
        <w:t>s</w:t>
      </w:r>
      <w:r w:rsidR="002B47E8">
        <w:rPr>
          <w:rFonts w:ascii="Arial" w:hAnsi="Arial" w:cs="Arial"/>
          <w:szCs w:val="24"/>
        </w:rPr>
        <w:t xml:space="preserve">. Endorsement is therefore not </w:t>
      </w:r>
      <w:r w:rsidR="000D120D">
        <w:rPr>
          <w:rFonts w:ascii="Arial" w:hAnsi="Arial" w:cs="Arial"/>
          <w:szCs w:val="24"/>
        </w:rPr>
        <w:t>feasible.</w:t>
      </w:r>
    </w:p>
    <w:p w:rsidR="00454877" w:rsidRPr="0029004F" w:rsidRDefault="002B47E8" w:rsidP="0029004F">
      <w:pPr>
        <w:pStyle w:val="CabStandard"/>
        <w:numPr>
          <w:ilvl w:val="1"/>
          <w:numId w:val="1"/>
        </w:numPr>
        <w:rPr>
          <w:rFonts w:ascii="Arial" w:hAnsi="Arial" w:cs="Arial"/>
          <w:szCs w:val="24"/>
        </w:rPr>
      </w:pPr>
      <w:r>
        <w:rPr>
          <w:rFonts w:ascii="Arial" w:hAnsi="Arial" w:cs="Arial"/>
          <w:szCs w:val="24"/>
        </w:rPr>
        <w:t xml:space="preserve">Recognition would require finding a regulatory authority in an EU “Member State of reference” to recognise the NZFMA. </w:t>
      </w:r>
      <w:r w:rsidR="0029004F">
        <w:rPr>
          <w:rFonts w:ascii="Arial" w:hAnsi="Arial" w:cs="Arial"/>
          <w:szCs w:val="24"/>
        </w:rPr>
        <w:t xml:space="preserve">The NZFMA would then have to have an EU representative based in the EU Member State of reference, who would be responsible for oversight of the benchmarks administered by the NZFMA. </w:t>
      </w:r>
      <w:r w:rsidR="0029004F" w:rsidRPr="0029004F">
        <w:rPr>
          <w:rFonts w:ascii="Arial" w:hAnsi="Arial" w:cs="Arial"/>
          <w:szCs w:val="24"/>
        </w:rPr>
        <w:t xml:space="preserve">As </w:t>
      </w:r>
      <w:r w:rsidR="0029004F">
        <w:rPr>
          <w:rFonts w:ascii="Arial" w:hAnsi="Arial" w:cs="Arial"/>
          <w:szCs w:val="24"/>
        </w:rPr>
        <w:t>with</w:t>
      </w:r>
      <w:r w:rsidR="0029004F" w:rsidRPr="0029004F">
        <w:rPr>
          <w:rFonts w:ascii="Arial" w:hAnsi="Arial" w:cs="Arial"/>
          <w:szCs w:val="24"/>
        </w:rPr>
        <w:t xml:space="preserve"> </w:t>
      </w:r>
      <w:r w:rsidR="0029004F">
        <w:rPr>
          <w:rFonts w:ascii="Arial" w:hAnsi="Arial" w:cs="Arial"/>
          <w:szCs w:val="24"/>
        </w:rPr>
        <w:t xml:space="preserve">the </w:t>
      </w:r>
      <w:r w:rsidR="0029004F" w:rsidRPr="0029004F">
        <w:rPr>
          <w:rFonts w:ascii="Arial" w:hAnsi="Arial" w:cs="Arial"/>
          <w:szCs w:val="24"/>
        </w:rPr>
        <w:t>endorsement</w:t>
      </w:r>
      <w:r w:rsidR="0029004F">
        <w:rPr>
          <w:rFonts w:ascii="Arial" w:hAnsi="Arial" w:cs="Arial"/>
          <w:szCs w:val="24"/>
        </w:rPr>
        <w:t xml:space="preserve"> option</w:t>
      </w:r>
      <w:r w:rsidR="0029004F" w:rsidRPr="0029004F">
        <w:rPr>
          <w:rFonts w:ascii="Arial" w:hAnsi="Arial" w:cs="Arial"/>
          <w:szCs w:val="24"/>
        </w:rPr>
        <w:t xml:space="preserve">, setting up suitable compliance arrangements would be costly and </w:t>
      </w:r>
      <w:r w:rsidR="00C5604D">
        <w:rPr>
          <w:rFonts w:ascii="Arial" w:hAnsi="Arial" w:cs="Arial"/>
          <w:szCs w:val="24"/>
        </w:rPr>
        <w:t>would involve</w:t>
      </w:r>
      <w:r w:rsidR="0029004F" w:rsidRPr="0029004F">
        <w:rPr>
          <w:rFonts w:ascii="Arial" w:hAnsi="Arial" w:cs="Arial"/>
          <w:szCs w:val="24"/>
        </w:rPr>
        <w:t xml:space="preserve"> ceding control offshore to another entity</w:t>
      </w:r>
      <w:r w:rsidR="0029004F">
        <w:rPr>
          <w:rFonts w:ascii="Arial" w:hAnsi="Arial" w:cs="Arial"/>
          <w:szCs w:val="24"/>
        </w:rPr>
        <w:t xml:space="preserve">. </w:t>
      </w:r>
      <w:r w:rsidR="00C5604D">
        <w:rPr>
          <w:rFonts w:ascii="Arial" w:hAnsi="Arial" w:cs="Arial"/>
          <w:szCs w:val="24"/>
        </w:rPr>
        <w:t>Recognition is therefore also not feasible.</w:t>
      </w:r>
    </w:p>
    <w:p w:rsidR="00564E46" w:rsidRPr="00287083" w:rsidRDefault="00773401" w:rsidP="00955662">
      <w:pPr>
        <w:pStyle w:val="CabStandard"/>
        <w:numPr>
          <w:ilvl w:val="0"/>
          <w:numId w:val="0"/>
        </w:numPr>
        <w:ind w:left="720" w:hanging="720"/>
        <w:rPr>
          <w:rFonts w:ascii="Arial" w:hAnsi="Arial" w:cs="Arial"/>
          <w:i/>
          <w:szCs w:val="24"/>
        </w:rPr>
      </w:pPr>
      <w:r w:rsidRPr="00287083">
        <w:rPr>
          <w:rFonts w:ascii="Arial" w:hAnsi="Arial" w:cs="Arial"/>
          <w:i/>
          <w:szCs w:val="24"/>
        </w:rPr>
        <w:t>Proposal</w:t>
      </w:r>
    </w:p>
    <w:p w:rsidR="002F4E08" w:rsidRDefault="0029004F" w:rsidP="00626B4F">
      <w:pPr>
        <w:pStyle w:val="CabStandard"/>
        <w:tabs>
          <w:tab w:val="clear" w:pos="1004"/>
          <w:tab w:val="num" w:pos="720"/>
        </w:tabs>
        <w:ind w:left="720"/>
        <w:rPr>
          <w:rFonts w:ascii="Arial" w:hAnsi="Arial" w:cs="Arial"/>
          <w:szCs w:val="24"/>
        </w:rPr>
      </w:pPr>
      <w:r>
        <w:rPr>
          <w:rFonts w:ascii="Arial" w:hAnsi="Arial" w:cs="Arial"/>
          <w:szCs w:val="24"/>
        </w:rPr>
        <w:t>In order to achieve compliance with the EU regulations</w:t>
      </w:r>
      <w:r w:rsidR="00C06B50">
        <w:rPr>
          <w:rFonts w:ascii="Arial" w:hAnsi="Arial" w:cs="Arial"/>
          <w:szCs w:val="24"/>
        </w:rPr>
        <w:t xml:space="preserve"> and ensure continued access to critical EU financial markets and counterparties for New Zealand </w:t>
      </w:r>
      <w:r w:rsidR="00C06B50">
        <w:rPr>
          <w:rFonts w:ascii="Arial" w:hAnsi="Arial" w:cs="Arial"/>
          <w:szCs w:val="24"/>
        </w:rPr>
        <w:lastRenderedPageBreak/>
        <w:t>benchmarks</w:t>
      </w:r>
      <w:r>
        <w:rPr>
          <w:rFonts w:ascii="Arial" w:hAnsi="Arial" w:cs="Arial"/>
          <w:szCs w:val="24"/>
        </w:rPr>
        <w:t xml:space="preserve">, I propose to implement a licensing regime for administrators of financial benchmarks </w:t>
      </w:r>
      <w:r w:rsidR="00C24E22">
        <w:rPr>
          <w:rFonts w:ascii="Arial" w:hAnsi="Arial" w:cs="Arial"/>
          <w:szCs w:val="24"/>
        </w:rPr>
        <w:t>under the Financial Markets Conduct Act 2013</w:t>
      </w:r>
      <w:r>
        <w:rPr>
          <w:rFonts w:ascii="Arial" w:hAnsi="Arial" w:cs="Arial"/>
          <w:szCs w:val="24"/>
        </w:rPr>
        <w:t xml:space="preserve">. </w:t>
      </w:r>
    </w:p>
    <w:p w:rsidR="003D398D" w:rsidRDefault="00D26317" w:rsidP="00626B4F">
      <w:pPr>
        <w:pStyle w:val="CabStandard"/>
        <w:tabs>
          <w:tab w:val="clear" w:pos="1004"/>
          <w:tab w:val="num" w:pos="720"/>
        </w:tabs>
        <w:ind w:left="720"/>
        <w:rPr>
          <w:rFonts w:ascii="Arial" w:hAnsi="Arial" w:cs="Arial"/>
          <w:szCs w:val="24"/>
        </w:rPr>
      </w:pPr>
      <w:r>
        <w:rPr>
          <w:rFonts w:ascii="Arial" w:hAnsi="Arial" w:cs="Arial"/>
          <w:szCs w:val="24"/>
        </w:rPr>
        <w:t xml:space="preserve">Licensing, monitoring and enforcement would be carried out by the FMA </w:t>
      </w:r>
      <w:r w:rsidR="00E22887">
        <w:rPr>
          <w:rFonts w:ascii="Arial" w:hAnsi="Arial" w:cs="Arial"/>
          <w:szCs w:val="24"/>
        </w:rPr>
        <w:t xml:space="preserve">as the regulator </w:t>
      </w:r>
      <w:r>
        <w:rPr>
          <w:rFonts w:ascii="Arial" w:hAnsi="Arial" w:cs="Arial"/>
          <w:szCs w:val="24"/>
        </w:rPr>
        <w:t>and s</w:t>
      </w:r>
      <w:r w:rsidR="00F56A8B">
        <w:rPr>
          <w:rFonts w:ascii="Arial" w:hAnsi="Arial" w:cs="Arial"/>
          <w:szCs w:val="24"/>
        </w:rPr>
        <w:t xml:space="preserve">ubsequent </w:t>
      </w:r>
      <w:r w:rsidR="00F56A8B" w:rsidRPr="00C501C3">
        <w:rPr>
          <w:rFonts w:ascii="Arial" w:hAnsi="Arial" w:cs="Arial"/>
          <w:szCs w:val="24"/>
        </w:rPr>
        <w:t>regulations would prescribe the</w:t>
      </w:r>
      <w:r w:rsidR="00F56A8B">
        <w:rPr>
          <w:rFonts w:ascii="Arial" w:hAnsi="Arial" w:cs="Arial"/>
          <w:szCs w:val="24"/>
        </w:rPr>
        <w:t xml:space="preserve"> detail of the </w:t>
      </w:r>
      <w:r w:rsidR="00F56A8B" w:rsidRPr="00C501C3">
        <w:rPr>
          <w:rFonts w:ascii="Arial" w:hAnsi="Arial" w:cs="Arial"/>
          <w:szCs w:val="24"/>
        </w:rPr>
        <w:t>licensing standards and conditions</w:t>
      </w:r>
      <w:r w:rsidR="00F56A8B">
        <w:rPr>
          <w:rFonts w:ascii="Arial" w:hAnsi="Arial" w:cs="Arial"/>
          <w:szCs w:val="24"/>
        </w:rPr>
        <w:t>, consistent with the EU regulations.</w:t>
      </w:r>
      <w:r w:rsidR="002F4E08">
        <w:rPr>
          <w:rFonts w:ascii="Arial" w:hAnsi="Arial" w:cs="Arial"/>
          <w:szCs w:val="24"/>
        </w:rPr>
        <w:t xml:space="preserve"> </w:t>
      </w:r>
    </w:p>
    <w:p w:rsidR="00C24E22" w:rsidRDefault="002F4E08" w:rsidP="00626B4F">
      <w:pPr>
        <w:pStyle w:val="CabStandard"/>
        <w:tabs>
          <w:tab w:val="clear" w:pos="1004"/>
          <w:tab w:val="num" w:pos="720"/>
        </w:tabs>
        <w:ind w:left="720"/>
        <w:rPr>
          <w:rFonts w:ascii="Arial" w:hAnsi="Arial" w:cs="Arial"/>
          <w:szCs w:val="24"/>
        </w:rPr>
      </w:pPr>
      <w:r>
        <w:rPr>
          <w:rFonts w:ascii="Arial" w:hAnsi="Arial" w:cs="Arial"/>
          <w:szCs w:val="24"/>
        </w:rPr>
        <w:t>Licensing would be on an opt-in rather than mandatory</w:t>
      </w:r>
      <w:r w:rsidR="002419C8">
        <w:rPr>
          <w:rFonts w:ascii="Arial" w:hAnsi="Arial" w:cs="Arial"/>
          <w:szCs w:val="24"/>
        </w:rPr>
        <w:t xml:space="preserve"> basis</w:t>
      </w:r>
      <w:r w:rsidR="003D398D">
        <w:rPr>
          <w:rFonts w:ascii="Arial" w:hAnsi="Arial" w:cs="Arial"/>
          <w:szCs w:val="24"/>
        </w:rPr>
        <w:t xml:space="preserve"> as this </w:t>
      </w:r>
      <w:r w:rsidR="00A75E1C">
        <w:rPr>
          <w:rFonts w:ascii="Arial" w:hAnsi="Arial" w:cs="Arial"/>
          <w:szCs w:val="24"/>
        </w:rPr>
        <w:t xml:space="preserve">is easier to implement and </w:t>
      </w:r>
      <w:r w:rsidR="003D398D" w:rsidRPr="00883A38">
        <w:rPr>
          <w:rFonts w:ascii="Arial" w:hAnsi="Arial" w:cs="Arial"/>
          <w:szCs w:val="24"/>
        </w:rPr>
        <w:t xml:space="preserve">would only capture the types of financial benchmarks we </w:t>
      </w:r>
      <w:r w:rsidR="00A75E1C" w:rsidRPr="00883A38">
        <w:rPr>
          <w:rFonts w:ascii="Arial" w:hAnsi="Arial" w:cs="Arial"/>
          <w:szCs w:val="24"/>
        </w:rPr>
        <w:t>are interested in regulating</w:t>
      </w:r>
      <w:r w:rsidR="00F6797E">
        <w:rPr>
          <w:rFonts w:ascii="Arial" w:hAnsi="Arial" w:cs="Arial"/>
          <w:szCs w:val="24"/>
        </w:rPr>
        <w:t>. At this stage</w:t>
      </w:r>
      <w:r w:rsidR="009F0F70">
        <w:rPr>
          <w:rFonts w:ascii="Arial" w:hAnsi="Arial" w:cs="Arial"/>
          <w:szCs w:val="24"/>
        </w:rPr>
        <w:t>,</w:t>
      </w:r>
      <w:r w:rsidR="00F6797E">
        <w:rPr>
          <w:rFonts w:ascii="Arial" w:hAnsi="Arial" w:cs="Arial"/>
          <w:szCs w:val="24"/>
        </w:rPr>
        <w:t xml:space="preserve"> </w:t>
      </w:r>
      <w:r w:rsidR="00302482">
        <w:rPr>
          <w:rFonts w:ascii="Arial" w:hAnsi="Arial" w:cs="Arial"/>
          <w:szCs w:val="24"/>
        </w:rPr>
        <w:t>it is</w:t>
      </w:r>
      <w:r w:rsidR="00F6797E">
        <w:rPr>
          <w:rFonts w:ascii="Arial" w:hAnsi="Arial" w:cs="Arial"/>
          <w:szCs w:val="24"/>
        </w:rPr>
        <w:t xml:space="preserve"> expect</w:t>
      </w:r>
      <w:r w:rsidR="00302482">
        <w:rPr>
          <w:rFonts w:ascii="Arial" w:hAnsi="Arial" w:cs="Arial"/>
          <w:szCs w:val="24"/>
        </w:rPr>
        <w:t>ed</w:t>
      </w:r>
      <w:r w:rsidR="00F6797E">
        <w:rPr>
          <w:rFonts w:ascii="Arial" w:hAnsi="Arial" w:cs="Arial"/>
          <w:szCs w:val="24"/>
        </w:rPr>
        <w:t xml:space="preserve"> </w:t>
      </w:r>
      <w:r w:rsidR="00302482">
        <w:rPr>
          <w:rFonts w:ascii="Arial" w:hAnsi="Arial" w:cs="Arial"/>
          <w:szCs w:val="24"/>
        </w:rPr>
        <w:t xml:space="preserve">that </w:t>
      </w:r>
      <w:r w:rsidR="00EA6680">
        <w:rPr>
          <w:rFonts w:ascii="Arial" w:hAnsi="Arial" w:cs="Arial"/>
          <w:szCs w:val="24"/>
        </w:rPr>
        <w:t xml:space="preserve">the </w:t>
      </w:r>
      <w:r w:rsidR="00F6797E">
        <w:rPr>
          <w:rFonts w:ascii="Arial" w:hAnsi="Arial" w:cs="Arial"/>
          <w:szCs w:val="24"/>
        </w:rPr>
        <w:t>NZFMA is the only entity</w:t>
      </w:r>
      <w:r w:rsidR="009447E4">
        <w:rPr>
          <w:rFonts w:ascii="Arial" w:hAnsi="Arial" w:cs="Arial"/>
          <w:szCs w:val="24"/>
        </w:rPr>
        <w:t xml:space="preserve"> that would apply for a licence </w:t>
      </w:r>
      <w:r w:rsidR="00BE68B3">
        <w:rPr>
          <w:rFonts w:ascii="Arial" w:hAnsi="Arial" w:cs="Arial"/>
          <w:szCs w:val="24"/>
        </w:rPr>
        <w:t xml:space="preserve">and </w:t>
      </w:r>
      <w:r w:rsidR="003D398D">
        <w:rPr>
          <w:rFonts w:ascii="Arial" w:hAnsi="Arial" w:cs="Arial"/>
          <w:szCs w:val="24"/>
        </w:rPr>
        <w:t xml:space="preserve">they have confirmed </w:t>
      </w:r>
      <w:r w:rsidR="00541F33">
        <w:rPr>
          <w:rFonts w:ascii="Arial" w:hAnsi="Arial" w:cs="Arial"/>
          <w:szCs w:val="24"/>
        </w:rPr>
        <w:t>their clear intention to do so</w:t>
      </w:r>
      <w:r w:rsidR="009447E4">
        <w:rPr>
          <w:rFonts w:ascii="Arial" w:hAnsi="Arial" w:cs="Arial"/>
          <w:szCs w:val="24"/>
        </w:rPr>
        <w:t>.</w:t>
      </w:r>
    </w:p>
    <w:p w:rsidR="0029004F" w:rsidRDefault="00E22887" w:rsidP="00626B4F">
      <w:pPr>
        <w:pStyle w:val="CabStandard"/>
        <w:tabs>
          <w:tab w:val="clear" w:pos="1004"/>
          <w:tab w:val="num" w:pos="720"/>
        </w:tabs>
        <w:ind w:left="720"/>
        <w:rPr>
          <w:rFonts w:ascii="Arial" w:hAnsi="Arial" w:cs="Arial"/>
          <w:szCs w:val="24"/>
        </w:rPr>
      </w:pPr>
      <w:r>
        <w:rPr>
          <w:rFonts w:ascii="Arial" w:hAnsi="Arial" w:cs="Arial"/>
          <w:szCs w:val="24"/>
        </w:rPr>
        <w:t>The l</w:t>
      </w:r>
      <w:r w:rsidR="00C24E22">
        <w:rPr>
          <w:rFonts w:ascii="Arial" w:hAnsi="Arial" w:cs="Arial"/>
          <w:szCs w:val="24"/>
        </w:rPr>
        <w:t xml:space="preserve">icensing </w:t>
      </w:r>
      <w:r>
        <w:rPr>
          <w:rFonts w:ascii="Arial" w:hAnsi="Arial" w:cs="Arial"/>
          <w:szCs w:val="24"/>
        </w:rPr>
        <w:t xml:space="preserve">of </w:t>
      </w:r>
      <w:r w:rsidR="00C24E22">
        <w:rPr>
          <w:rFonts w:ascii="Arial" w:hAnsi="Arial" w:cs="Arial"/>
          <w:szCs w:val="24"/>
        </w:rPr>
        <w:t xml:space="preserve">benchmark administrators would </w:t>
      </w:r>
      <w:r w:rsidR="0055010A">
        <w:rPr>
          <w:rFonts w:ascii="Arial" w:hAnsi="Arial" w:cs="Arial"/>
          <w:szCs w:val="24"/>
        </w:rPr>
        <w:t xml:space="preserve">be designed to </w:t>
      </w:r>
      <w:r w:rsidR="002D3A1D">
        <w:rPr>
          <w:rFonts w:ascii="Arial" w:hAnsi="Arial" w:cs="Arial"/>
          <w:szCs w:val="24"/>
        </w:rPr>
        <w:t xml:space="preserve">comply with the EU regulations and </w:t>
      </w:r>
      <w:r w:rsidR="00C24E22">
        <w:rPr>
          <w:rFonts w:ascii="Arial" w:hAnsi="Arial" w:cs="Arial"/>
          <w:szCs w:val="24"/>
        </w:rPr>
        <w:t xml:space="preserve">establish the basis for an “equivalence” application to the European Commission </w:t>
      </w:r>
      <w:r w:rsidR="00A14B56">
        <w:rPr>
          <w:rFonts w:ascii="Arial" w:hAnsi="Arial" w:cs="Arial"/>
          <w:szCs w:val="24"/>
        </w:rPr>
        <w:t>meet</w:t>
      </w:r>
      <w:r w:rsidR="00C2352F">
        <w:rPr>
          <w:rFonts w:ascii="Arial" w:hAnsi="Arial" w:cs="Arial"/>
          <w:szCs w:val="24"/>
        </w:rPr>
        <w:t>ing</w:t>
      </w:r>
      <w:r w:rsidR="00A14B56">
        <w:rPr>
          <w:rFonts w:ascii="Arial" w:hAnsi="Arial" w:cs="Arial"/>
          <w:szCs w:val="24"/>
        </w:rPr>
        <w:t xml:space="preserve"> the criteria </w:t>
      </w:r>
      <w:r w:rsidR="00790268">
        <w:rPr>
          <w:rFonts w:ascii="Arial" w:hAnsi="Arial" w:cs="Arial"/>
          <w:szCs w:val="24"/>
        </w:rPr>
        <w:t xml:space="preserve">set out </w:t>
      </w:r>
      <w:r w:rsidR="00A14B56">
        <w:rPr>
          <w:rFonts w:ascii="Arial" w:hAnsi="Arial" w:cs="Arial"/>
          <w:szCs w:val="24"/>
        </w:rPr>
        <w:t xml:space="preserve">in paragraph </w:t>
      </w:r>
      <w:r w:rsidR="00A14B56">
        <w:rPr>
          <w:rFonts w:ascii="Arial" w:hAnsi="Arial" w:cs="Arial"/>
          <w:szCs w:val="24"/>
        </w:rPr>
        <w:fldChar w:fldCharType="begin"/>
      </w:r>
      <w:r w:rsidR="00A14B56">
        <w:rPr>
          <w:rFonts w:ascii="Arial" w:hAnsi="Arial" w:cs="Arial"/>
          <w:szCs w:val="24"/>
        </w:rPr>
        <w:instrText xml:space="preserve"> REF _Ref519258487 \r \h </w:instrText>
      </w:r>
      <w:r w:rsidR="00A14B56">
        <w:rPr>
          <w:rFonts w:ascii="Arial" w:hAnsi="Arial" w:cs="Arial"/>
          <w:szCs w:val="24"/>
        </w:rPr>
      </w:r>
      <w:r w:rsidR="00A14B56">
        <w:rPr>
          <w:rFonts w:ascii="Arial" w:hAnsi="Arial" w:cs="Arial"/>
          <w:szCs w:val="24"/>
        </w:rPr>
        <w:fldChar w:fldCharType="separate"/>
      </w:r>
      <w:r w:rsidR="00743131">
        <w:rPr>
          <w:rFonts w:ascii="Arial" w:hAnsi="Arial" w:cs="Arial"/>
          <w:szCs w:val="24"/>
        </w:rPr>
        <w:t>33</w:t>
      </w:r>
      <w:r w:rsidR="00A14B56">
        <w:rPr>
          <w:rFonts w:ascii="Arial" w:hAnsi="Arial" w:cs="Arial"/>
          <w:szCs w:val="24"/>
        </w:rPr>
        <w:fldChar w:fldCharType="end"/>
      </w:r>
      <w:r w:rsidR="00A14B56">
        <w:rPr>
          <w:rFonts w:ascii="Arial" w:hAnsi="Arial" w:cs="Arial"/>
          <w:szCs w:val="24"/>
        </w:rPr>
        <w:t xml:space="preserve">. </w:t>
      </w:r>
    </w:p>
    <w:p w:rsidR="007C50B1" w:rsidRDefault="007C50B1" w:rsidP="00C0064E">
      <w:pPr>
        <w:pStyle w:val="CabStandard"/>
        <w:tabs>
          <w:tab w:val="clear" w:pos="1004"/>
          <w:tab w:val="num" w:pos="720"/>
        </w:tabs>
        <w:ind w:left="720"/>
        <w:rPr>
          <w:rFonts w:ascii="Arial" w:hAnsi="Arial" w:cs="Arial"/>
          <w:szCs w:val="24"/>
        </w:rPr>
      </w:pPr>
      <w:r>
        <w:rPr>
          <w:rFonts w:ascii="Arial" w:hAnsi="Arial" w:cs="Arial"/>
          <w:szCs w:val="24"/>
        </w:rPr>
        <w:t>By providing a regulatory regime that complie</w:t>
      </w:r>
      <w:r w:rsidR="001D57B8">
        <w:rPr>
          <w:rFonts w:ascii="Arial" w:hAnsi="Arial" w:cs="Arial"/>
          <w:szCs w:val="24"/>
        </w:rPr>
        <w:t>d</w:t>
      </w:r>
      <w:r>
        <w:rPr>
          <w:rFonts w:ascii="Arial" w:hAnsi="Arial" w:cs="Arial"/>
          <w:szCs w:val="24"/>
        </w:rPr>
        <w:t xml:space="preserve"> with the EU regulations, licensing would ensure continued access to critical EU financial markets and counterparties for affected New Zealand </w:t>
      </w:r>
      <w:r w:rsidR="00E22887">
        <w:rPr>
          <w:rFonts w:ascii="Arial" w:hAnsi="Arial" w:cs="Arial"/>
          <w:szCs w:val="24"/>
        </w:rPr>
        <w:t>benchmarks</w:t>
      </w:r>
      <w:r>
        <w:rPr>
          <w:rFonts w:ascii="Arial" w:hAnsi="Arial" w:cs="Arial"/>
          <w:szCs w:val="24"/>
        </w:rPr>
        <w:t xml:space="preserve">, thereby avoiding the significant costs </w:t>
      </w:r>
      <w:r w:rsidR="00961853">
        <w:rPr>
          <w:rFonts w:ascii="Arial" w:hAnsi="Arial" w:cs="Arial"/>
          <w:szCs w:val="24"/>
        </w:rPr>
        <w:t xml:space="preserve">to New Zealand benchmark users and NZ </w:t>
      </w:r>
      <w:proofErr w:type="spellStart"/>
      <w:r w:rsidR="00961853">
        <w:rPr>
          <w:rFonts w:ascii="Arial" w:hAnsi="Arial" w:cs="Arial"/>
          <w:szCs w:val="24"/>
        </w:rPr>
        <w:t>Inc</w:t>
      </w:r>
      <w:proofErr w:type="spellEnd"/>
      <w:r w:rsidR="00961853">
        <w:rPr>
          <w:rFonts w:ascii="Arial" w:hAnsi="Arial" w:cs="Arial"/>
          <w:szCs w:val="24"/>
        </w:rPr>
        <w:t xml:space="preserve"> </w:t>
      </w:r>
      <w:r>
        <w:rPr>
          <w:rFonts w:ascii="Arial" w:hAnsi="Arial" w:cs="Arial"/>
          <w:szCs w:val="24"/>
        </w:rPr>
        <w:t>that might otherwise arise.</w:t>
      </w:r>
    </w:p>
    <w:p w:rsidR="00C0064E" w:rsidRDefault="00C24E22" w:rsidP="00C0064E">
      <w:pPr>
        <w:pStyle w:val="CabStandard"/>
        <w:tabs>
          <w:tab w:val="clear" w:pos="1004"/>
          <w:tab w:val="num" w:pos="720"/>
        </w:tabs>
        <w:ind w:left="720"/>
        <w:rPr>
          <w:rFonts w:ascii="Arial" w:hAnsi="Arial" w:cs="Arial"/>
          <w:szCs w:val="24"/>
        </w:rPr>
      </w:pPr>
      <w:r>
        <w:rPr>
          <w:rFonts w:ascii="Arial" w:hAnsi="Arial" w:cs="Arial"/>
          <w:szCs w:val="24"/>
        </w:rPr>
        <w:t>Licensing is also the preferred option because it</w:t>
      </w:r>
      <w:r w:rsidR="00C0064E">
        <w:rPr>
          <w:rFonts w:ascii="Arial" w:hAnsi="Arial" w:cs="Arial"/>
          <w:szCs w:val="24"/>
        </w:rPr>
        <w:t>:</w:t>
      </w:r>
    </w:p>
    <w:p w:rsidR="00125F43" w:rsidRDefault="00125F43" w:rsidP="00C0064E">
      <w:pPr>
        <w:pStyle w:val="CabStandard"/>
        <w:numPr>
          <w:ilvl w:val="1"/>
          <w:numId w:val="1"/>
        </w:numPr>
        <w:rPr>
          <w:rFonts w:ascii="Arial" w:hAnsi="Arial" w:cs="Arial"/>
          <w:szCs w:val="24"/>
        </w:rPr>
      </w:pPr>
      <w:r>
        <w:rPr>
          <w:rFonts w:ascii="Arial" w:hAnsi="Arial" w:cs="Arial"/>
          <w:szCs w:val="24"/>
        </w:rPr>
        <w:t>involves relatively low initial-set up and ongoing operational costs (FMA estimates that its annual costs of licensing and monitoring the NZFMA would be approximately $80,000, to be recovered through a licensing fee and annual levy)</w:t>
      </w:r>
    </w:p>
    <w:p w:rsidR="00C0064E" w:rsidRPr="005F22D2" w:rsidRDefault="00057818" w:rsidP="00C0064E">
      <w:pPr>
        <w:pStyle w:val="CabStandard"/>
        <w:numPr>
          <w:ilvl w:val="1"/>
          <w:numId w:val="1"/>
        </w:numPr>
        <w:rPr>
          <w:rFonts w:ascii="Arial" w:hAnsi="Arial" w:cs="Arial"/>
          <w:szCs w:val="24"/>
        </w:rPr>
      </w:pPr>
      <w:r>
        <w:rPr>
          <w:rFonts w:ascii="Arial" w:hAnsi="Arial" w:cs="Arial"/>
          <w:szCs w:val="24"/>
        </w:rPr>
        <w:lastRenderedPageBreak/>
        <w:t>e</w:t>
      </w:r>
      <w:r w:rsidR="00C0064E">
        <w:rPr>
          <w:rFonts w:ascii="Arial" w:hAnsi="Arial" w:cs="Arial"/>
          <w:szCs w:val="24"/>
        </w:rPr>
        <w:t xml:space="preserve">nables </w:t>
      </w:r>
      <w:r w:rsidR="00C0064E" w:rsidRPr="005F22D2">
        <w:rPr>
          <w:rFonts w:ascii="Arial" w:hAnsi="Arial" w:cs="Arial"/>
          <w:szCs w:val="24"/>
        </w:rPr>
        <w:t xml:space="preserve">actual or potential benchmark-related </w:t>
      </w:r>
      <w:r w:rsidR="00C0064E">
        <w:rPr>
          <w:rFonts w:ascii="Arial" w:hAnsi="Arial" w:cs="Arial"/>
          <w:szCs w:val="24"/>
        </w:rPr>
        <w:t xml:space="preserve">conduct </w:t>
      </w:r>
      <w:r w:rsidR="00C0064E" w:rsidRPr="005F22D2">
        <w:rPr>
          <w:rFonts w:ascii="Arial" w:hAnsi="Arial" w:cs="Arial"/>
          <w:szCs w:val="24"/>
        </w:rPr>
        <w:t xml:space="preserve">issues </w:t>
      </w:r>
      <w:r w:rsidR="00C0064E">
        <w:rPr>
          <w:rFonts w:ascii="Arial" w:hAnsi="Arial" w:cs="Arial"/>
          <w:szCs w:val="24"/>
        </w:rPr>
        <w:t xml:space="preserve">to be managed in a way that </w:t>
      </w:r>
      <w:r w:rsidR="00125F43">
        <w:rPr>
          <w:rFonts w:ascii="Arial" w:hAnsi="Arial" w:cs="Arial"/>
          <w:szCs w:val="24"/>
        </w:rPr>
        <w:t>are</w:t>
      </w:r>
      <w:r w:rsidR="00C0064E">
        <w:rPr>
          <w:rFonts w:ascii="Arial" w:hAnsi="Arial" w:cs="Arial"/>
          <w:szCs w:val="24"/>
        </w:rPr>
        <w:t xml:space="preserve"> </w:t>
      </w:r>
      <w:r w:rsidR="00C0064E" w:rsidRPr="005F22D2">
        <w:rPr>
          <w:rFonts w:ascii="Arial" w:hAnsi="Arial" w:cs="Arial"/>
          <w:szCs w:val="24"/>
        </w:rPr>
        <w:t xml:space="preserve">consistent with </w:t>
      </w:r>
      <w:r w:rsidR="00C0064E">
        <w:rPr>
          <w:rFonts w:ascii="Arial" w:hAnsi="Arial" w:cs="Arial"/>
          <w:szCs w:val="24"/>
        </w:rPr>
        <w:t>the IOSCO Principles as they are currently b</w:t>
      </w:r>
      <w:r w:rsidR="00FD675B">
        <w:rPr>
          <w:rFonts w:ascii="Arial" w:hAnsi="Arial" w:cs="Arial"/>
          <w:szCs w:val="24"/>
        </w:rPr>
        <w:t xml:space="preserve">eing implemented </w:t>
      </w:r>
      <w:r w:rsidR="006131BA">
        <w:rPr>
          <w:rFonts w:ascii="Arial" w:hAnsi="Arial" w:cs="Arial"/>
          <w:szCs w:val="24"/>
        </w:rPr>
        <w:t xml:space="preserve">voluntarily </w:t>
      </w:r>
      <w:r w:rsidR="002C1CDC">
        <w:rPr>
          <w:rFonts w:ascii="Arial" w:hAnsi="Arial" w:cs="Arial"/>
          <w:szCs w:val="24"/>
        </w:rPr>
        <w:t xml:space="preserve">by the NZFMA </w:t>
      </w:r>
      <w:r w:rsidR="00FD675B">
        <w:rPr>
          <w:rFonts w:ascii="Arial" w:hAnsi="Arial" w:cs="Arial"/>
          <w:szCs w:val="24"/>
        </w:rPr>
        <w:t>in New Zealand</w:t>
      </w:r>
    </w:p>
    <w:p w:rsidR="00C0064E" w:rsidRDefault="00FD675B" w:rsidP="00C0064E">
      <w:pPr>
        <w:pStyle w:val="CabStandard"/>
        <w:numPr>
          <w:ilvl w:val="1"/>
          <w:numId w:val="1"/>
        </w:numPr>
        <w:rPr>
          <w:rFonts w:ascii="Arial" w:hAnsi="Arial" w:cs="Arial"/>
          <w:szCs w:val="24"/>
        </w:rPr>
      </w:pPr>
      <w:r>
        <w:rPr>
          <w:rFonts w:ascii="Arial" w:hAnsi="Arial" w:cs="Arial"/>
          <w:szCs w:val="24"/>
        </w:rPr>
        <w:t>u</w:t>
      </w:r>
      <w:r w:rsidR="00C501C3">
        <w:rPr>
          <w:rFonts w:ascii="Arial" w:hAnsi="Arial" w:cs="Arial"/>
          <w:szCs w:val="24"/>
        </w:rPr>
        <w:t xml:space="preserve">tilises </w:t>
      </w:r>
      <w:r w:rsidR="00C0064E">
        <w:rPr>
          <w:rFonts w:ascii="Arial" w:hAnsi="Arial" w:cs="Arial"/>
          <w:szCs w:val="24"/>
        </w:rPr>
        <w:t xml:space="preserve">the </w:t>
      </w:r>
      <w:r w:rsidR="00C0064E" w:rsidRPr="005F22D2">
        <w:rPr>
          <w:rFonts w:ascii="Arial" w:hAnsi="Arial" w:cs="Arial"/>
          <w:szCs w:val="24"/>
        </w:rPr>
        <w:t>expertise</w:t>
      </w:r>
      <w:r w:rsidR="00C0064E">
        <w:rPr>
          <w:rFonts w:ascii="Arial" w:hAnsi="Arial" w:cs="Arial"/>
          <w:szCs w:val="24"/>
        </w:rPr>
        <w:t xml:space="preserve"> of our financial markets regulator, the FMA, to provide additional assurance around the integrity of New Zealand benchmarks</w:t>
      </w:r>
    </w:p>
    <w:p w:rsidR="006722D9" w:rsidRDefault="00FD675B" w:rsidP="00C0064E">
      <w:pPr>
        <w:pStyle w:val="CabStandard"/>
        <w:numPr>
          <w:ilvl w:val="1"/>
          <w:numId w:val="1"/>
        </w:numPr>
        <w:rPr>
          <w:rFonts w:ascii="Arial" w:hAnsi="Arial" w:cs="Arial"/>
          <w:szCs w:val="24"/>
        </w:rPr>
      </w:pPr>
      <w:r>
        <w:rPr>
          <w:rFonts w:ascii="Arial" w:hAnsi="Arial" w:cs="Arial"/>
          <w:szCs w:val="24"/>
        </w:rPr>
        <w:t>w</w:t>
      </w:r>
      <w:r w:rsidR="00812442">
        <w:rPr>
          <w:rFonts w:ascii="Arial" w:hAnsi="Arial" w:cs="Arial"/>
          <w:szCs w:val="24"/>
        </w:rPr>
        <w:t>ill likely introduce</w:t>
      </w:r>
      <w:r w:rsidR="001C2E3F">
        <w:rPr>
          <w:rFonts w:ascii="Arial" w:hAnsi="Arial" w:cs="Arial"/>
          <w:szCs w:val="24"/>
        </w:rPr>
        <w:t xml:space="preserve"> few additional costs to the existing benchmarking system</w:t>
      </w:r>
    </w:p>
    <w:p w:rsidR="00C0064E" w:rsidRPr="005F22D2" w:rsidRDefault="006722D9" w:rsidP="002C099C">
      <w:pPr>
        <w:pStyle w:val="CabStandard"/>
        <w:numPr>
          <w:ilvl w:val="1"/>
          <w:numId w:val="1"/>
        </w:numPr>
        <w:rPr>
          <w:rFonts w:ascii="Arial" w:hAnsi="Arial" w:cs="Arial"/>
          <w:szCs w:val="24"/>
        </w:rPr>
      </w:pPr>
      <w:proofErr w:type="gramStart"/>
      <w:r>
        <w:rPr>
          <w:rFonts w:ascii="Arial" w:hAnsi="Arial" w:cs="Arial"/>
          <w:szCs w:val="24"/>
        </w:rPr>
        <w:t>may</w:t>
      </w:r>
      <w:proofErr w:type="gramEnd"/>
      <w:r>
        <w:rPr>
          <w:rFonts w:ascii="Arial" w:hAnsi="Arial" w:cs="Arial"/>
          <w:szCs w:val="24"/>
        </w:rPr>
        <w:t xml:space="preserve"> be possible to progress the required </w:t>
      </w:r>
      <w:r w:rsidRPr="001D5F34">
        <w:rPr>
          <w:rFonts w:ascii="Arial" w:hAnsi="Arial" w:cs="Arial"/>
          <w:szCs w:val="24"/>
        </w:rPr>
        <w:t>amendment</w:t>
      </w:r>
      <w:r>
        <w:rPr>
          <w:rFonts w:ascii="Arial" w:hAnsi="Arial" w:cs="Arial"/>
          <w:szCs w:val="24"/>
        </w:rPr>
        <w:t>s</w:t>
      </w:r>
      <w:r w:rsidRPr="001D5F34">
        <w:rPr>
          <w:rFonts w:ascii="Arial" w:hAnsi="Arial" w:cs="Arial"/>
          <w:szCs w:val="24"/>
        </w:rPr>
        <w:t xml:space="preserve"> to the Act </w:t>
      </w:r>
      <w:r>
        <w:rPr>
          <w:rFonts w:ascii="Arial" w:hAnsi="Arial" w:cs="Arial"/>
          <w:szCs w:val="24"/>
        </w:rPr>
        <w:t xml:space="preserve">in a timely manner by including them in </w:t>
      </w:r>
      <w:r w:rsidRPr="001D5F34">
        <w:rPr>
          <w:rFonts w:ascii="Arial" w:hAnsi="Arial" w:cs="Arial"/>
          <w:szCs w:val="24"/>
        </w:rPr>
        <w:t xml:space="preserve">the </w:t>
      </w:r>
      <w:r>
        <w:rPr>
          <w:rFonts w:ascii="Arial" w:hAnsi="Arial" w:cs="Arial"/>
          <w:szCs w:val="24"/>
        </w:rPr>
        <w:t>International Financial Reforms Amendment Bill</w:t>
      </w:r>
      <w:r w:rsidR="002C099C">
        <w:rPr>
          <w:rFonts w:ascii="Arial" w:hAnsi="Arial" w:cs="Arial"/>
          <w:szCs w:val="24"/>
        </w:rPr>
        <w:t xml:space="preserve"> (</w:t>
      </w:r>
      <w:r w:rsidR="00BD0DA1">
        <w:rPr>
          <w:rFonts w:ascii="Arial" w:hAnsi="Arial" w:cs="Arial"/>
          <w:szCs w:val="24"/>
        </w:rPr>
        <w:t>being drafted to respond to international reforms related to derivative margin requirements</w:t>
      </w:r>
      <w:r w:rsidR="002C099C" w:rsidRPr="002C099C">
        <w:rPr>
          <w:rFonts w:ascii="Arial" w:hAnsi="Arial" w:cs="Arial"/>
          <w:szCs w:val="24"/>
        </w:rPr>
        <w:t xml:space="preserve"> </w:t>
      </w:r>
      <w:r w:rsidR="00BD0DA1">
        <w:rPr>
          <w:rFonts w:ascii="Arial" w:hAnsi="Arial" w:cs="Arial"/>
          <w:szCs w:val="24"/>
        </w:rPr>
        <w:t xml:space="preserve">and Cabinet decisions in </w:t>
      </w:r>
      <w:r w:rsidR="002C099C" w:rsidRPr="002C099C">
        <w:rPr>
          <w:rFonts w:ascii="Arial" w:hAnsi="Arial" w:cs="Arial"/>
          <w:szCs w:val="24"/>
        </w:rPr>
        <w:t>DEV-18-MIN-0031</w:t>
      </w:r>
      <w:r w:rsidR="002C099C">
        <w:rPr>
          <w:rFonts w:ascii="Arial" w:hAnsi="Arial" w:cs="Arial"/>
          <w:szCs w:val="24"/>
        </w:rPr>
        <w:t>)</w:t>
      </w:r>
      <w:r w:rsidR="00C0064E">
        <w:rPr>
          <w:rFonts w:ascii="Arial" w:hAnsi="Arial" w:cs="Arial"/>
          <w:szCs w:val="24"/>
        </w:rPr>
        <w:t>.</w:t>
      </w:r>
    </w:p>
    <w:p w:rsidR="00D343D8" w:rsidRPr="00D343D8" w:rsidRDefault="00D343D8" w:rsidP="00D343D8">
      <w:pPr>
        <w:pStyle w:val="CabStandard"/>
        <w:tabs>
          <w:tab w:val="clear" w:pos="1004"/>
          <w:tab w:val="num" w:pos="720"/>
        </w:tabs>
        <w:ind w:left="720"/>
        <w:rPr>
          <w:rFonts w:ascii="Arial" w:hAnsi="Arial" w:cs="Arial"/>
          <w:szCs w:val="24"/>
        </w:rPr>
      </w:pPr>
      <w:r w:rsidRPr="00D343D8">
        <w:rPr>
          <w:rFonts w:ascii="Arial" w:hAnsi="Arial" w:cs="Arial"/>
          <w:szCs w:val="24"/>
        </w:rPr>
        <w:t xml:space="preserve">I note that Australia has also introduced a licensing regime for </w:t>
      </w:r>
      <w:r>
        <w:rPr>
          <w:rFonts w:ascii="Arial" w:hAnsi="Arial" w:cs="Arial"/>
          <w:szCs w:val="24"/>
        </w:rPr>
        <w:t>administrators of financial benchmarks in response to concerns about the integrity of benchmarks and in the context of the EU regulations.</w:t>
      </w:r>
    </w:p>
    <w:p w:rsidR="00287083" w:rsidRPr="00897D61" w:rsidRDefault="00287083" w:rsidP="00287083">
      <w:pPr>
        <w:pStyle w:val="CabStandard"/>
        <w:numPr>
          <w:ilvl w:val="0"/>
          <w:numId w:val="0"/>
        </w:numPr>
        <w:rPr>
          <w:rFonts w:ascii="Arial" w:hAnsi="Arial" w:cs="Arial"/>
          <w:i/>
          <w:szCs w:val="24"/>
        </w:rPr>
      </w:pPr>
      <w:r w:rsidRPr="00897D61">
        <w:rPr>
          <w:rFonts w:ascii="Arial" w:hAnsi="Arial" w:cs="Arial"/>
          <w:i/>
          <w:szCs w:val="24"/>
        </w:rPr>
        <w:t xml:space="preserve">Alternative options </w:t>
      </w:r>
      <w:r w:rsidR="008204E2">
        <w:rPr>
          <w:rFonts w:ascii="Arial" w:hAnsi="Arial" w:cs="Arial"/>
          <w:i/>
          <w:szCs w:val="24"/>
        </w:rPr>
        <w:t>less</w:t>
      </w:r>
      <w:r w:rsidRPr="00897D61">
        <w:rPr>
          <w:rFonts w:ascii="Arial" w:hAnsi="Arial" w:cs="Arial"/>
          <w:i/>
          <w:szCs w:val="24"/>
        </w:rPr>
        <w:t xml:space="preserve"> appropriate</w:t>
      </w:r>
    </w:p>
    <w:p w:rsidR="00031A91" w:rsidRDefault="00287083" w:rsidP="00C24E22">
      <w:pPr>
        <w:pStyle w:val="CabStandard"/>
        <w:tabs>
          <w:tab w:val="clear" w:pos="1004"/>
          <w:tab w:val="num" w:pos="720"/>
        </w:tabs>
        <w:ind w:left="720"/>
        <w:rPr>
          <w:rFonts w:ascii="Arial" w:hAnsi="Arial" w:cs="Arial"/>
          <w:szCs w:val="24"/>
        </w:rPr>
      </w:pPr>
      <w:r>
        <w:rPr>
          <w:rFonts w:ascii="Arial" w:hAnsi="Arial" w:cs="Arial"/>
          <w:szCs w:val="24"/>
        </w:rPr>
        <w:t xml:space="preserve">Two </w:t>
      </w:r>
      <w:r w:rsidR="00897D61">
        <w:rPr>
          <w:rFonts w:ascii="Arial" w:hAnsi="Arial" w:cs="Arial"/>
          <w:szCs w:val="24"/>
        </w:rPr>
        <w:t xml:space="preserve">alternative </w:t>
      </w:r>
      <w:r>
        <w:rPr>
          <w:rFonts w:ascii="Arial" w:hAnsi="Arial" w:cs="Arial"/>
          <w:szCs w:val="24"/>
        </w:rPr>
        <w:t xml:space="preserve">options </w:t>
      </w:r>
      <w:r w:rsidR="00897D61">
        <w:rPr>
          <w:rFonts w:ascii="Arial" w:hAnsi="Arial" w:cs="Arial"/>
          <w:szCs w:val="24"/>
        </w:rPr>
        <w:t xml:space="preserve">to licensing were considered but were dismissed as </w:t>
      </w:r>
      <w:r w:rsidR="00031A91">
        <w:rPr>
          <w:rFonts w:ascii="Arial" w:hAnsi="Arial" w:cs="Arial"/>
          <w:szCs w:val="24"/>
        </w:rPr>
        <w:t xml:space="preserve">they were </w:t>
      </w:r>
      <w:r w:rsidR="008204E2">
        <w:rPr>
          <w:rFonts w:ascii="Arial" w:hAnsi="Arial" w:cs="Arial"/>
          <w:szCs w:val="24"/>
        </w:rPr>
        <w:t xml:space="preserve">less </w:t>
      </w:r>
      <w:r w:rsidR="00897D61">
        <w:rPr>
          <w:rFonts w:ascii="Arial" w:hAnsi="Arial" w:cs="Arial"/>
          <w:szCs w:val="24"/>
        </w:rPr>
        <w:t>appropriate.</w:t>
      </w:r>
      <w:r w:rsidR="00C24E22">
        <w:rPr>
          <w:rFonts w:ascii="Arial" w:hAnsi="Arial" w:cs="Arial"/>
          <w:szCs w:val="24"/>
        </w:rPr>
        <w:t xml:space="preserve"> </w:t>
      </w:r>
    </w:p>
    <w:p w:rsidR="00C24E22" w:rsidRDefault="00B97C8E" w:rsidP="00B97C8E">
      <w:pPr>
        <w:pStyle w:val="CabStandard"/>
        <w:tabs>
          <w:tab w:val="clear" w:pos="1004"/>
          <w:tab w:val="num" w:pos="720"/>
        </w:tabs>
        <w:ind w:left="720"/>
        <w:rPr>
          <w:rFonts w:ascii="Arial" w:hAnsi="Arial" w:cs="Arial"/>
          <w:szCs w:val="24"/>
        </w:rPr>
      </w:pPr>
      <w:r>
        <w:rPr>
          <w:rFonts w:ascii="Arial" w:hAnsi="Arial" w:cs="Arial"/>
          <w:szCs w:val="24"/>
        </w:rPr>
        <w:t xml:space="preserve">The first </w:t>
      </w:r>
      <w:r w:rsidR="00C24E22">
        <w:rPr>
          <w:rFonts w:ascii="Arial" w:hAnsi="Arial" w:cs="Arial"/>
          <w:szCs w:val="24"/>
        </w:rPr>
        <w:t xml:space="preserve">alternative option was for benchmark administration in New Zealand to be carried out by the Reserve </w:t>
      </w:r>
      <w:r w:rsidR="00C24E22" w:rsidRPr="004C6776">
        <w:rPr>
          <w:rFonts w:ascii="Arial" w:hAnsi="Arial" w:cs="Arial"/>
          <w:szCs w:val="24"/>
        </w:rPr>
        <w:t>Bank</w:t>
      </w:r>
      <w:r w:rsidR="00C24E22">
        <w:rPr>
          <w:rFonts w:ascii="Arial" w:hAnsi="Arial" w:cs="Arial"/>
          <w:szCs w:val="24"/>
        </w:rPr>
        <w:t>, as the EU regulations do not apply to third country central banks.</w:t>
      </w:r>
    </w:p>
    <w:p w:rsidR="00C24E22" w:rsidRDefault="00C24E22" w:rsidP="00B97C8E">
      <w:pPr>
        <w:pStyle w:val="CabStandard"/>
        <w:tabs>
          <w:tab w:val="clear" w:pos="1004"/>
          <w:tab w:val="num" w:pos="720"/>
        </w:tabs>
        <w:ind w:left="720"/>
        <w:rPr>
          <w:rFonts w:ascii="Arial" w:hAnsi="Arial" w:cs="Arial"/>
          <w:szCs w:val="24"/>
        </w:rPr>
      </w:pPr>
      <w:r w:rsidRPr="00B97C8E">
        <w:rPr>
          <w:rFonts w:ascii="Arial" w:hAnsi="Arial" w:cs="Arial"/>
          <w:szCs w:val="24"/>
        </w:rPr>
        <w:t xml:space="preserve">I do not propose central bank administration because it would significantly disrupt the largely satisfactory status quo benchmarking activities of the NZFMA. </w:t>
      </w:r>
      <w:r w:rsidRPr="00B97C8E">
        <w:rPr>
          <w:rFonts w:ascii="Arial" w:hAnsi="Arial" w:cs="Arial"/>
          <w:szCs w:val="24"/>
        </w:rPr>
        <w:lastRenderedPageBreak/>
        <w:t>Moreover, benchmark administration is not a good regulatory fit within the scheme of the Reserve Bank of New Zealand Act</w:t>
      </w:r>
      <w:r w:rsidR="008C46DB">
        <w:rPr>
          <w:rFonts w:ascii="Arial" w:hAnsi="Arial" w:cs="Arial"/>
          <w:szCs w:val="24"/>
        </w:rPr>
        <w:t xml:space="preserve"> (RBNZ Act)</w:t>
      </w:r>
      <w:r w:rsidRPr="00B97C8E">
        <w:rPr>
          <w:rFonts w:ascii="Arial" w:hAnsi="Arial" w:cs="Arial"/>
          <w:szCs w:val="24"/>
        </w:rPr>
        <w:t>. The issue being addressed by regulation relates primarily to market conduct concerns (e.g. managing conflicts of interest and benchmark manipulation), rather than market stability issues. The Reserve Bank would also incur significant costs in employing requisite in-house operational expertise and establishing the benchmarking systems and processes currently being delivered by the NZFMA.</w:t>
      </w:r>
    </w:p>
    <w:p w:rsidR="00B97C8E" w:rsidRDefault="00B97C8E" w:rsidP="00473E01">
      <w:pPr>
        <w:pStyle w:val="CabStandard"/>
        <w:tabs>
          <w:tab w:val="clear" w:pos="1004"/>
          <w:tab w:val="num" w:pos="720"/>
        </w:tabs>
        <w:ind w:left="720"/>
        <w:rPr>
          <w:rFonts w:ascii="Arial" w:hAnsi="Arial" w:cs="Arial"/>
          <w:szCs w:val="24"/>
        </w:rPr>
      </w:pPr>
      <w:r w:rsidRPr="00473E01">
        <w:rPr>
          <w:rFonts w:ascii="Arial" w:hAnsi="Arial" w:cs="Arial"/>
          <w:szCs w:val="24"/>
        </w:rPr>
        <w:t xml:space="preserve">The second alternative option was </w:t>
      </w:r>
      <w:r w:rsidR="00473E01" w:rsidRPr="00473E01">
        <w:rPr>
          <w:rFonts w:ascii="Arial" w:hAnsi="Arial" w:cs="Arial"/>
          <w:szCs w:val="24"/>
        </w:rPr>
        <w:t xml:space="preserve">to develop a new process within the </w:t>
      </w:r>
      <w:r w:rsidR="008C46DB">
        <w:rPr>
          <w:rFonts w:ascii="Arial" w:hAnsi="Arial" w:cs="Arial"/>
          <w:szCs w:val="24"/>
        </w:rPr>
        <w:t>RBNZ Act</w:t>
      </w:r>
      <w:r w:rsidR="00473E01">
        <w:rPr>
          <w:rFonts w:ascii="Arial" w:hAnsi="Arial" w:cs="Arial"/>
          <w:szCs w:val="24"/>
        </w:rPr>
        <w:t xml:space="preserve"> </w:t>
      </w:r>
      <w:r w:rsidR="00473E01" w:rsidRPr="00473E01">
        <w:rPr>
          <w:rFonts w:ascii="Arial" w:hAnsi="Arial" w:cs="Arial"/>
          <w:szCs w:val="24"/>
        </w:rPr>
        <w:t xml:space="preserve">for the joint designation of benchmarks </w:t>
      </w:r>
      <w:r w:rsidR="008C46DB">
        <w:rPr>
          <w:rFonts w:ascii="Arial" w:hAnsi="Arial" w:cs="Arial"/>
          <w:szCs w:val="24"/>
        </w:rPr>
        <w:t>by</w:t>
      </w:r>
      <w:r w:rsidR="00473E01" w:rsidRPr="00473E01">
        <w:rPr>
          <w:rFonts w:ascii="Arial" w:hAnsi="Arial" w:cs="Arial"/>
          <w:szCs w:val="24"/>
        </w:rPr>
        <w:t xml:space="preserve"> the Reserve Bank and FMA</w:t>
      </w:r>
      <w:r w:rsidR="00E55E3A">
        <w:rPr>
          <w:rFonts w:ascii="Arial" w:hAnsi="Arial" w:cs="Arial"/>
          <w:szCs w:val="24"/>
        </w:rPr>
        <w:t>,</w:t>
      </w:r>
      <w:r w:rsidR="00473E01" w:rsidRPr="00473E01">
        <w:rPr>
          <w:rFonts w:ascii="Arial" w:hAnsi="Arial" w:cs="Arial"/>
          <w:szCs w:val="24"/>
        </w:rPr>
        <w:t xml:space="preserve"> where those benchmarks were systemically important for market stability and efficiency</w:t>
      </w:r>
      <w:r w:rsidR="008C46DB">
        <w:rPr>
          <w:rFonts w:ascii="Arial" w:hAnsi="Arial" w:cs="Arial"/>
          <w:szCs w:val="24"/>
        </w:rPr>
        <w:t xml:space="preserve"> reasons</w:t>
      </w:r>
      <w:r w:rsidR="00473E01">
        <w:rPr>
          <w:rFonts w:ascii="Arial" w:hAnsi="Arial" w:cs="Arial"/>
          <w:szCs w:val="24"/>
        </w:rPr>
        <w:t xml:space="preserve">. This process would be based on the existing process in the RBNZ Act for designation of settlement systems. </w:t>
      </w:r>
      <w:r w:rsidR="00B01C31">
        <w:rPr>
          <w:rFonts w:ascii="Arial" w:hAnsi="Arial" w:cs="Arial"/>
          <w:szCs w:val="24"/>
        </w:rPr>
        <w:t>Designation would establish the basis for an equivalence decision, with the Reserve Bank and FMA having joint ongoing supervisory and enforcement responsibilities and powers in relation to the benchmark administrators</w:t>
      </w:r>
      <w:r w:rsidR="00473E01">
        <w:rPr>
          <w:rFonts w:ascii="Arial" w:hAnsi="Arial" w:cs="Arial"/>
          <w:szCs w:val="24"/>
        </w:rPr>
        <w:t xml:space="preserve">. </w:t>
      </w:r>
    </w:p>
    <w:p w:rsidR="00473E01" w:rsidRPr="00473E01" w:rsidRDefault="00086ABC" w:rsidP="00473E01">
      <w:pPr>
        <w:pStyle w:val="CabStandard"/>
        <w:tabs>
          <w:tab w:val="clear" w:pos="1004"/>
          <w:tab w:val="num" w:pos="720"/>
        </w:tabs>
        <w:ind w:left="720"/>
        <w:rPr>
          <w:rFonts w:ascii="Arial" w:hAnsi="Arial" w:cs="Arial"/>
          <w:szCs w:val="24"/>
        </w:rPr>
      </w:pPr>
      <w:r>
        <w:rPr>
          <w:rFonts w:ascii="Arial" w:hAnsi="Arial" w:cs="Arial"/>
          <w:szCs w:val="24"/>
        </w:rPr>
        <w:t xml:space="preserve">This option was </w:t>
      </w:r>
      <w:r w:rsidR="00EC0D57">
        <w:rPr>
          <w:rFonts w:ascii="Arial" w:hAnsi="Arial" w:cs="Arial"/>
          <w:szCs w:val="24"/>
        </w:rPr>
        <w:t xml:space="preserve">considered less </w:t>
      </w:r>
      <w:r>
        <w:rPr>
          <w:rFonts w:ascii="Arial" w:hAnsi="Arial" w:cs="Arial"/>
          <w:szCs w:val="24"/>
        </w:rPr>
        <w:t xml:space="preserve">appropriate </w:t>
      </w:r>
      <w:r w:rsidR="00EC0D57">
        <w:rPr>
          <w:rFonts w:ascii="Arial" w:hAnsi="Arial" w:cs="Arial"/>
          <w:szCs w:val="24"/>
        </w:rPr>
        <w:t xml:space="preserve">than licensing under the FMC Act </w:t>
      </w:r>
      <w:r>
        <w:rPr>
          <w:rFonts w:ascii="Arial" w:hAnsi="Arial" w:cs="Arial"/>
          <w:szCs w:val="24"/>
        </w:rPr>
        <w:t xml:space="preserve">as </w:t>
      </w:r>
      <w:r w:rsidR="000030B6">
        <w:rPr>
          <w:rFonts w:ascii="Arial" w:hAnsi="Arial" w:cs="Arial"/>
          <w:szCs w:val="24"/>
        </w:rPr>
        <w:t xml:space="preserve">the concerns being regulated for relate to market conduct rather than market stability and efficiency, </w:t>
      </w:r>
      <w:r w:rsidR="00EC0D57">
        <w:rPr>
          <w:rFonts w:ascii="Arial" w:hAnsi="Arial" w:cs="Arial"/>
          <w:szCs w:val="24"/>
        </w:rPr>
        <w:t xml:space="preserve">and the costs and practical complexity of </w:t>
      </w:r>
      <w:r w:rsidR="009E5D9B">
        <w:rPr>
          <w:rFonts w:ascii="Arial" w:hAnsi="Arial" w:cs="Arial"/>
          <w:szCs w:val="24"/>
        </w:rPr>
        <w:t xml:space="preserve">a </w:t>
      </w:r>
      <w:r w:rsidR="000030B6">
        <w:rPr>
          <w:rFonts w:ascii="Arial" w:hAnsi="Arial" w:cs="Arial"/>
          <w:szCs w:val="24"/>
        </w:rPr>
        <w:t>joint regulator</w:t>
      </w:r>
      <w:r w:rsidR="009E5D9B">
        <w:rPr>
          <w:rFonts w:ascii="Arial" w:hAnsi="Arial" w:cs="Arial"/>
          <w:szCs w:val="24"/>
        </w:rPr>
        <w:t>y arrangement</w:t>
      </w:r>
      <w:r w:rsidR="000030B6">
        <w:rPr>
          <w:rFonts w:ascii="Arial" w:hAnsi="Arial" w:cs="Arial"/>
          <w:szCs w:val="24"/>
        </w:rPr>
        <w:t xml:space="preserve"> </w:t>
      </w:r>
      <w:r w:rsidR="00EC0D57">
        <w:rPr>
          <w:rFonts w:ascii="Arial" w:hAnsi="Arial" w:cs="Arial"/>
          <w:szCs w:val="24"/>
        </w:rPr>
        <w:t>would likely outweigh the benefits of a single-regulator model</w:t>
      </w:r>
      <w:r w:rsidR="000030B6">
        <w:rPr>
          <w:rFonts w:ascii="Arial" w:hAnsi="Arial" w:cs="Arial"/>
          <w:szCs w:val="24"/>
        </w:rPr>
        <w:t>.</w:t>
      </w:r>
    </w:p>
    <w:p w:rsidR="0070033B" w:rsidRPr="00F642C6" w:rsidRDefault="0070033B" w:rsidP="00CF664B">
      <w:pPr>
        <w:pStyle w:val="CabStandard"/>
        <w:numPr>
          <w:ilvl w:val="0"/>
          <w:numId w:val="0"/>
        </w:numPr>
        <w:rPr>
          <w:rFonts w:ascii="Arial" w:hAnsi="Arial" w:cs="Arial"/>
          <w:b/>
          <w:szCs w:val="24"/>
        </w:rPr>
      </w:pPr>
      <w:r w:rsidRPr="00F642C6">
        <w:rPr>
          <w:rFonts w:ascii="Arial" w:hAnsi="Arial" w:cs="Arial"/>
          <w:b/>
          <w:szCs w:val="24"/>
        </w:rPr>
        <w:t>Consultation</w:t>
      </w:r>
    </w:p>
    <w:p w:rsidR="009C6FAC" w:rsidRDefault="00897D61" w:rsidP="003150F0">
      <w:pPr>
        <w:pStyle w:val="CabStandard"/>
        <w:tabs>
          <w:tab w:val="clear" w:pos="1004"/>
          <w:tab w:val="num" w:pos="720"/>
        </w:tabs>
        <w:ind w:left="720"/>
        <w:rPr>
          <w:rFonts w:ascii="Arial" w:hAnsi="Arial" w:cs="Arial"/>
          <w:szCs w:val="24"/>
        </w:rPr>
      </w:pPr>
      <w:r>
        <w:rPr>
          <w:rFonts w:ascii="Arial" w:hAnsi="Arial" w:cs="Arial"/>
          <w:szCs w:val="24"/>
        </w:rPr>
        <w:t xml:space="preserve">The Treasury, </w:t>
      </w:r>
      <w:r w:rsidR="002B66D7">
        <w:rPr>
          <w:rFonts w:ascii="Arial" w:hAnsi="Arial" w:cs="Arial"/>
          <w:szCs w:val="24"/>
        </w:rPr>
        <w:t>Reserve Bank</w:t>
      </w:r>
      <w:r w:rsidR="006B7D8E">
        <w:rPr>
          <w:rFonts w:ascii="Arial" w:hAnsi="Arial" w:cs="Arial"/>
          <w:szCs w:val="24"/>
        </w:rPr>
        <w:t xml:space="preserve">, </w:t>
      </w:r>
      <w:r w:rsidR="00E55E3A">
        <w:rPr>
          <w:rFonts w:ascii="Arial" w:hAnsi="Arial" w:cs="Arial"/>
          <w:szCs w:val="24"/>
        </w:rPr>
        <w:t>FMA</w:t>
      </w:r>
      <w:r w:rsidR="006B7D8E">
        <w:rPr>
          <w:rFonts w:ascii="Arial" w:hAnsi="Arial" w:cs="Arial"/>
          <w:szCs w:val="24"/>
        </w:rPr>
        <w:t xml:space="preserve">, </w:t>
      </w:r>
      <w:r w:rsidR="0026361E">
        <w:rPr>
          <w:rFonts w:ascii="Arial" w:hAnsi="Arial" w:cs="Arial"/>
          <w:szCs w:val="24"/>
        </w:rPr>
        <w:t xml:space="preserve">and </w:t>
      </w:r>
      <w:r>
        <w:rPr>
          <w:rFonts w:ascii="Arial" w:hAnsi="Arial" w:cs="Arial"/>
          <w:szCs w:val="24"/>
        </w:rPr>
        <w:t xml:space="preserve">the </w:t>
      </w:r>
      <w:r w:rsidR="0026361E" w:rsidRPr="0026361E">
        <w:rPr>
          <w:rFonts w:ascii="Arial" w:hAnsi="Arial" w:cs="Arial"/>
          <w:szCs w:val="24"/>
        </w:rPr>
        <w:t xml:space="preserve">Department of Prime Minister and Cabinet (Policy </w:t>
      </w:r>
      <w:r w:rsidR="007200FA">
        <w:rPr>
          <w:rFonts w:ascii="Arial" w:hAnsi="Arial" w:cs="Arial"/>
          <w:szCs w:val="24"/>
        </w:rPr>
        <w:t>Advisory</w:t>
      </w:r>
      <w:r w:rsidR="0026361E" w:rsidRPr="0026361E">
        <w:rPr>
          <w:rFonts w:ascii="Arial" w:hAnsi="Arial" w:cs="Arial"/>
          <w:szCs w:val="24"/>
        </w:rPr>
        <w:t xml:space="preserve"> </w:t>
      </w:r>
      <w:r w:rsidR="00182126">
        <w:rPr>
          <w:rFonts w:ascii="Arial" w:hAnsi="Arial" w:cs="Arial"/>
          <w:szCs w:val="24"/>
        </w:rPr>
        <w:t>Group)</w:t>
      </w:r>
      <w:r>
        <w:rPr>
          <w:rFonts w:ascii="Arial" w:hAnsi="Arial" w:cs="Arial"/>
          <w:szCs w:val="24"/>
        </w:rPr>
        <w:t xml:space="preserve"> were consulted as part of the development of this paper</w:t>
      </w:r>
      <w:r w:rsidR="00182126">
        <w:rPr>
          <w:rFonts w:ascii="Arial" w:hAnsi="Arial" w:cs="Arial"/>
          <w:szCs w:val="24"/>
        </w:rPr>
        <w:t xml:space="preserve">. </w:t>
      </w:r>
      <w:r w:rsidR="0026361E" w:rsidRPr="0026361E">
        <w:rPr>
          <w:rFonts w:ascii="Arial" w:hAnsi="Arial" w:cs="Arial"/>
          <w:szCs w:val="24"/>
        </w:rPr>
        <w:t>Feedback received has been considered and addressed.</w:t>
      </w:r>
    </w:p>
    <w:p w:rsidR="0026361E" w:rsidRPr="0026361E" w:rsidRDefault="003A0AC5" w:rsidP="0026361E">
      <w:pPr>
        <w:pStyle w:val="CabStandard"/>
        <w:tabs>
          <w:tab w:val="clear" w:pos="1004"/>
          <w:tab w:val="num" w:pos="720"/>
        </w:tabs>
        <w:ind w:left="720"/>
        <w:rPr>
          <w:rFonts w:ascii="Arial" w:hAnsi="Arial" w:cs="Arial"/>
          <w:szCs w:val="24"/>
        </w:rPr>
      </w:pPr>
      <w:r>
        <w:rPr>
          <w:rFonts w:ascii="Arial" w:hAnsi="Arial" w:cs="Arial"/>
          <w:szCs w:val="24"/>
        </w:rPr>
        <w:lastRenderedPageBreak/>
        <w:t xml:space="preserve">The </w:t>
      </w:r>
      <w:r w:rsidRPr="006E1D0C">
        <w:rPr>
          <w:rFonts w:ascii="Arial" w:hAnsi="Arial" w:cs="Arial"/>
          <w:szCs w:val="24"/>
        </w:rPr>
        <w:t>Ministry of Business, Innovation and Employment</w:t>
      </w:r>
      <w:r w:rsidR="008F0730">
        <w:rPr>
          <w:rFonts w:ascii="Arial" w:hAnsi="Arial" w:cs="Arial"/>
          <w:szCs w:val="24"/>
        </w:rPr>
        <w:t xml:space="preserve"> (MBIE)</w:t>
      </w:r>
      <w:r w:rsidRPr="0026361E">
        <w:rPr>
          <w:rFonts w:ascii="Arial" w:hAnsi="Arial" w:cs="Arial"/>
          <w:szCs w:val="24"/>
        </w:rPr>
        <w:t xml:space="preserve"> </w:t>
      </w:r>
      <w:r w:rsidR="0026361E">
        <w:rPr>
          <w:rFonts w:ascii="Arial" w:hAnsi="Arial" w:cs="Arial"/>
          <w:szCs w:val="24"/>
        </w:rPr>
        <w:t xml:space="preserve">and the FMA </w:t>
      </w:r>
      <w:r w:rsidR="00031A91">
        <w:rPr>
          <w:rFonts w:ascii="Arial" w:hAnsi="Arial" w:cs="Arial"/>
          <w:szCs w:val="24"/>
        </w:rPr>
        <w:t xml:space="preserve">also </w:t>
      </w:r>
      <w:r w:rsidR="0026361E" w:rsidRPr="0026361E">
        <w:rPr>
          <w:rFonts w:ascii="Arial" w:hAnsi="Arial" w:cs="Arial"/>
          <w:szCs w:val="24"/>
        </w:rPr>
        <w:t xml:space="preserve">discussed the </w:t>
      </w:r>
      <w:r w:rsidR="005636C1">
        <w:rPr>
          <w:rFonts w:ascii="Arial" w:hAnsi="Arial" w:cs="Arial"/>
          <w:szCs w:val="24"/>
        </w:rPr>
        <w:t>proposals</w:t>
      </w:r>
      <w:r w:rsidR="0026361E" w:rsidRPr="0026361E">
        <w:rPr>
          <w:rFonts w:ascii="Arial" w:hAnsi="Arial" w:cs="Arial"/>
          <w:szCs w:val="24"/>
        </w:rPr>
        <w:t xml:space="preserve"> with </w:t>
      </w:r>
      <w:r w:rsidR="00724269">
        <w:rPr>
          <w:rFonts w:ascii="Arial" w:hAnsi="Arial" w:cs="Arial"/>
          <w:szCs w:val="24"/>
        </w:rPr>
        <w:t xml:space="preserve">the NZFMA </w:t>
      </w:r>
      <w:r w:rsidR="0026361E">
        <w:rPr>
          <w:rFonts w:ascii="Arial" w:hAnsi="Arial" w:cs="Arial"/>
          <w:szCs w:val="24"/>
        </w:rPr>
        <w:t xml:space="preserve">and relevant </w:t>
      </w:r>
      <w:r w:rsidR="0026361E" w:rsidRPr="0026361E">
        <w:rPr>
          <w:rFonts w:ascii="Arial" w:hAnsi="Arial" w:cs="Arial"/>
          <w:szCs w:val="24"/>
        </w:rPr>
        <w:t>industry participants</w:t>
      </w:r>
      <w:r w:rsidR="00724269">
        <w:rPr>
          <w:rFonts w:ascii="Arial" w:hAnsi="Arial" w:cs="Arial"/>
          <w:szCs w:val="24"/>
        </w:rPr>
        <w:t xml:space="preserve"> (primarily banks) with the assistance of the NZFMA</w:t>
      </w:r>
      <w:r w:rsidR="0026361E" w:rsidRPr="0026361E">
        <w:rPr>
          <w:rFonts w:ascii="Arial" w:hAnsi="Arial" w:cs="Arial"/>
          <w:szCs w:val="24"/>
        </w:rPr>
        <w:t xml:space="preserve">. </w:t>
      </w:r>
    </w:p>
    <w:p w:rsidR="0062740F" w:rsidRDefault="00E24897" w:rsidP="0062740F">
      <w:pPr>
        <w:pStyle w:val="CabStandard"/>
        <w:tabs>
          <w:tab w:val="clear" w:pos="1004"/>
          <w:tab w:val="num" w:pos="720"/>
        </w:tabs>
        <w:ind w:left="720"/>
        <w:rPr>
          <w:rFonts w:ascii="Arial" w:hAnsi="Arial" w:cs="Arial"/>
          <w:szCs w:val="24"/>
        </w:rPr>
      </w:pPr>
      <w:r>
        <w:rPr>
          <w:rFonts w:ascii="Arial" w:hAnsi="Arial" w:cs="Arial"/>
          <w:szCs w:val="24"/>
        </w:rPr>
        <w:t>Consultation</w:t>
      </w:r>
      <w:r w:rsidR="00A96E8C">
        <w:rPr>
          <w:rFonts w:ascii="Arial" w:hAnsi="Arial" w:cs="Arial"/>
          <w:szCs w:val="24"/>
        </w:rPr>
        <w:t xml:space="preserve"> confirmed the need for </w:t>
      </w:r>
      <w:r>
        <w:rPr>
          <w:rFonts w:ascii="Arial" w:hAnsi="Arial" w:cs="Arial"/>
          <w:szCs w:val="24"/>
        </w:rPr>
        <w:t xml:space="preserve">prompt </w:t>
      </w:r>
      <w:r w:rsidR="00A96E8C">
        <w:rPr>
          <w:rFonts w:ascii="Arial" w:hAnsi="Arial" w:cs="Arial"/>
          <w:szCs w:val="24"/>
        </w:rPr>
        <w:t xml:space="preserve">action and </w:t>
      </w:r>
      <w:r>
        <w:rPr>
          <w:rFonts w:ascii="Arial" w:hAnsi="Arial" w:cs="Arial"/>
          <w:szCs w:val="24"/>
        </w:rPr>
        <w:t xml:space="preserve">found </w:t>
      </w:r>
      <w:r w:rsidR="00A96E8C">
        <w:rPr>
          <w:rFonts w:ascii="Arial" w:hAnsi="Arial" w:cs="Arial"/>
          <w:szCs w:val="24"/>
        </w:rPr>
        <w:t>strong su</w:t>
      </w:r>
      <w:r w:rsidR="00E800B1">
        <w:rPr>
          <w:rFonts w:ascii="Arial" w:hAnsi="Arial" w:cs="Arial"/>
          <w:szCs w:val="24"/>
        </w:rPr>
        <w:t>pport for the preferred option.</w:t>
      </w:r>
      <w:r w:rsidR="00A96E8C">
        <w:rPr>
          <w:rFonts w:ascii="Arial" w:hAnsi="Arial" w:cs="Arial"/>
          <w:szCs w:val="24"/>
        </w:rPr>
        <w:t xml:space="preserve"> </w:t>
      </w:r>
      <w:r w:rsidR="0062740F">
        <w:rPr>
          <w:rFonts w:ascii="Arial" w:hAnsi="Arial" w:cs="Arial"/>
          <w:szCs w:val="24"/>
        </w:rPr>
        <w:t>T</w:t>
      </w:r>
      <w:r w:rsidR="0062740F" w:rsidRPr="0062740F">
        <w:rPr>
          <w:rFonts w:ascii="Arial" w:hAnsi="Arial" w:cs="Arial"/>
          <w:szCs w:val="24"/>
        </w:rPr>
        <w:t xml:space="preserve">he FMA supports being responsible for licensing and ongoing </w:t>
      </w:r>
      <w:r w:rsidR="00F33D29">
        <w:rPr>
          <w:rFonts w:ascii="Arial" w:hAnsi="Arial" w:cs="Arial"/>
          <w:szCs w:val="24"/>
        </w:rPr>
        <w:t>supervision</w:t>
      </w:r>
      <w:r w:rsidR="00F33D29" w:rsidRPr="0062740F">
        <w:rPr>
          <w:rFonts w:ascii="Arial" w:hAnsi="Arial" w:cs="Arial"/>
          <w:szCs w:val="24"/>
        </w:rPr>
        <w:t xml:space="preserve"> </w:t>
      </w:r>
      <w:r w:rsidR="0062740F" w:rsidRPr="0062740F">
        <w:rPr>
          <w:rFonts w:ascii="Arial" w:hAnsi="Arial" w:cs="Arial"/>
          <w:szCs w:val="24"/>
        </w:rPr>
        <w:t xml:space="preserve">and enforcement of the </w:t>
      </w:r>
      <w:r w:rsidR="009E29C1">
        <w:rPr>
          <w:rFonts w:ascii="Arial" w:hAnsi="Arial" w:cs="Arial"/>
          <w:szCs w:val="24"/>
        </w:rPr>
        <w:t xml:space="preserve">NZFMA </w:t>
      </w:r>
      <w:r w:rsidR="0062740F" w:rsidRPr="0062740F">
        <w:rPr>
          <w:rFonts w:ascii="Arial" w:hAnsi="Arial" w:cs="Arial"/>
          <w:szCs w:val="24"/>
        </w:rPr>
        <w:t xml:space="preserve">as </w:t>
      </w:r>
      <w:r w:rsidR="005E3C02">
        <w:rPr>
          <w:rFonts w:ascii="Arial" w:hAnsi="Arial" w:cs="Arial"/>
          <w:szCs w:val="24"/>
        </w:rPr>
        <w:t xml:space="preserve">the </w:t>
      </w:r>
      <w:r w:rsidR="0062740F" w:rsidRPr="0062740F">
        <w:rPr>
          <w:rFonts w:ascii="Arial" w:hAnsi="Arial" w:cs="Arial"/>
          <w:szCs w:val="24"/>
        </w:rPr>
        <w:t xml:space="preserve">benchmark administrator, and </w:t>
      </w:r>
      <w:r w:rsidR="0062740F">
        <w:rPr>
          <w:rFonts w:ascii="Arial" w:hAnsi="Arial" w:cs="Arial"/>
          <w:szCs w:val="24"/>
        </w:rPr>
        <w:t xml:space="preserve">the </w:t>
      </w:r>
      <w:r w:rsidR="009E29C1">
        <w:rPr>
          <w:rFonts w:ascii="Arial" w:hAnsi="Arial" w:cs="Arial"/>
          <w:szCs w:val="24"/>
        </w:rPr>
        <w:t xml:space="preserve">NZFMA </w:t>
      </w:r>
      <w:r w:rsidR="0062740F" w:rsidRPr="0062740F">
        <w:rPr>
          <w:rFonts w:ascii="Arial" w:hAnsi="Arial" w:cs="Arial"/>
          <w:szCs w:val="24"/>
        </w:rPr>
        <w:t>supports being licensed.</w:t>
      </w:r>
      <w:r w:rsidR="0069420A">
        <w:rPr>
          <w:rFonts w:ascii="Arial" w:hAnsi="Arial" w:cs="Arial"/>
          <w:szCs w:val="24"/>
        </w:rPr>
        <w:t xml:space="preserve"> </w:t>
      </w:r>
    </w:p>
    <w:p w:rsidR="0026361E" w:rsidRPr="00A17FC1" w:rsidRDefault="00A17FC1" w:rsidP="00A17FC1">
      <w:pPr>
        <w:pStyle w:val="CabStandard"/>
        <w:tabs>
          <w:tab w:val="clear" w:pos="1004"/>
          <w:tab w:val="num" w:pos="720"/>
        </w:tabs>
        <w:ind w:left="720"/>
        <w:rPr>
          <w:rFonts w:ascii="Arial" w:hAnsi="Arial" w:cs="Arial"/>
          <w:szCs w:val="24"/>
        </w:rPr>
      </w:pPr>
      <w:r w:rsidRPr="00A17FC1">
        <w:rPr>
          <w:rFonts w:ascii="Arial" w:hAnsi="Arial" w:cs="Arial"/>
          <w:szCs w:val="24"/>
        </w:rPr>
        <w:t xml:space="preserve">While </w:t>
      </w:r>
      <w:r w:rsidR="0082391B">
        <w:rPr>
          <w:rFonts w:ascii="Arial" w:hAnsi="Arial" w:cs="Arial"/>
          <w:szCs w:val="24"/>
        </w:rPr>
        <w:t>officials</w:t>
      </w:r>
      <w:r w:rsidRPr="00A17FC1">
        <w:rPr>
          <w:rFonts w:ascii="Arial" w:hAnsi="Arial" w:cs="Arial"/>
          <w:szCs w:val="24"/>
        </w:rPr>
        <w:t xml:space="preserve"> did not consult publicly or seek specific feedback from consumer groups in the interests of time, the general public will not be affected by the licensing of benchmark administrators and will be worse off if no action is taken. </w:t>
      </w:r>
      <w:r w:rsidR="00EF569F">
        <w:rPr>
          <w:rFonts w:ascii="Arial" w:hAnsi="Arial" w:cs="Arial"/>
          <w:szCs w:val="24"/>
        </w:rPr>
        <w:t>I am</w:t>
      </w:r>
      <w:r w:rsidR="00EB6880" w:rsidRPr="00A17FC1">
        <w:rPr>
          <w:rFonts w:ascii="Arial" w:hAnsi="Arial" w:cs="Arial"/>
          <w:szCs w:val="24"/>
        </w:rPr>
        <w:t xml:space="preserve"> </w:t>
      </w:r>
      <w:r w:rsidRPr="00A17FC1">
        <w:rPr>
          <w:rFonts w:ascii="Arial" w:hAnsi="Arial" w:cs="Arial"/>
          <w:szCs w:val="24"/>
        </w:rPr>
        <w:t xml:space="preserve">therefore confident that consumers would support the proposed approach. </w:t>
      </w:r>
    </w:p>
    <w:p w:rsidR="00A94217" w:rsidRDefault="00632391" w:rsidP="00AA66F4">
      <w:pPr>
        <w:pStyle w:val="CabStandard"/>
        <w:tabs>
          <w:tab w:val="clear" w:pos="1004"/>
          <w:tab w:val="num" w:pos="720"/>
        </w:tabs>
        <w:ind w:left="720"/>
        <w:rPr>
          <w:rFonts w:ascii="Arial" w:hAnsi="Arial" w:cs="Arial"/>
          <w:szCs w:val="24"/>
        </w:rPr>
      </w:pPr>
      <w:bookmarkStart w:id="3" w:name="financial-implications"/>
      <w:bookmarkEnd w:id="3"/>
      <w:r>
        <w:rPr>
          <w:rFonts w:ascii="Arial" w:hAnsi="Arial" w:cs="Arial"/>
          <w:szCs w:val="24"/>
        </w:rPr>
        <w:t>MBIE and FMA have also had p</w:t>
      </w:r>
      <w:r w:rsidR="000476B3">
        <w:rPr>
          <w:rFonts w:ascii="Arial" w:hAnsi="Arial" w:cs="Arial"/>
          <w:szCs w:val="24"/>
        </w:rPr>
        <w:t>reliminary d</w:t>
      </w:r>
      <w:r w:rsidR="00A94217">
        <w:rPr>
          <w:rFonts w:ascii="Arial" w:hAnsi="Arial" w:cs="Arial"/>
          <w:szCs w:val="24"/>
        </w:rPr>
        <w:t xml:space="preserve">iscussions with EU representatives to ensure a </w:t>
      </w:r>
      <w:r w:rsidR="001C0676">
        <w:rPr>
          <w:rFonts w:ascii="Arial" w:hAnsi="Arial" w:cs="Arial"/>
          <w:szCs w:val="24"/>
        </w:rPr>
        <w:t xml:space="preserve">degree of </w:t>
      </w:r>
      <w:r w:rsidR="00A94217">
        <w:rPr>
          <w:rFonts w:ascii="Arial" w:hAnsi="Arial" w:cs="Arial"/>
          <w:szCs w:val="24"/>
        </w:rPr>
        <w:t xml:space="preserve">confidence that licensing </w:t>
      </w:r>
      <w:r w:rsidR="001C0676">
        <w:rPr>
          <w:rFonts w:ascii="Arial" w:hAnsi="Arial" w:cs="Arial"/>
          <w:szCs w:val="24"/>
        </w:rPr>
        <w:t xml:space="preserve">benchmark administrators </w:t>
      </w:r>
      <w:r w:rsidR="00A94217">
        <w:rPr>
          <w:rFonts w:ascii="Arial" w:hAnsi="Arial" w:cs="Arial"/>
          <w:szCs w:val="24"/>
        </w:rPr>
        <w:t>based on the IOSCO Principles would establish the basis for an EU equivalence decision.</w:t>
      </w:r>
    </w:p>
    <w:p w:rsidR="0070033B" w:rsidRPr="00F642C6" w:rsidRDefault="0070033B" w:rsidP="00CF664B">
      <w:pPr>
        <w:pStyle w:val="CabStandard"/>
        <w:numPr>
          <w:ilvl w:val="0"/>
          <w:numId w:val="0"/>
        </w:numPr>
        <w:rPr>
          <w:rFonts w:ascii="Arial" w:hAnsi="Arial" w:cs="Arial"/>
          <w:b/>
          <w:szCs w:val="24"/>
        </w:rPr>
      </w:pPr>
      <w:r w:rsidRPr="00F642C6">
        <w:rPr>
          <w:rFonts w:ascii="Arial" w:hAnsi="Arial" w:cs="Arial"/>
          <w:b/>
          <w:szCs w:val="24"/>
        </w:rPr>
        <w:t xml:space="preserve">Financial Implications </w:t>
      </w:r>
    </w:p>
    <w:p w:rsidR="0070033B" w:rsidRPr="00E22A27" w:rsidRDefault="00BE0257" w:rsidP="003150F0">
      <w:pPr>
        <w:pStyle w:val="CabStandard"/>
        <w:tabs>
          <w:tab w:val="clear" w:pos="1004"/>
          <w:tab w:val="num" w:pos="720"/>
        </w:tabs>
        <w:ind w:left="720"/>
        <w:rPr>
          <w:rFonts w:ascii="Arial" w:hAnsi="Arial" w:cs="Arial"/>
          <w:szCs w:val="24"/>
        </w:rPr>
      </w:pPr>
      <w:r w:rsidRPr="00A3323F">
        <w:rPr>
          <w:rFonts w:ascii="Arial" w:hAnsi="Arial" w:cs="Arial"/>
          <w:szCs w:val="24"/>
        </w:rPr>
        <w:t xml:space="preserve">The </w:t>
      </w:r>
      <w:r w:rsidR="00A87857" w:rsidRPr="00A3323F">
        <w:rPr>
          <w:rFonts w:ascii="Arial" w:hAnsi="Arial" w:cs="Arial"/>
          <w:szCs w:val="24"/>
        </w:rPr>
        <w:t>proposals</w:t>
      </w:r>
      <w:r w:rsidR="00EB47B9">
        <w:rPr>
          <w:rFonts w:ascii="Arial" w:hAnsi="Arial" w:cs="Arial"/>
          <w:szCs w:val="24"/>
        </w:rPr>
        <w:t xml:space="preserve"> in this paper</w:t>
      </w:r>
      <w:r w:rsidR="00A87857" w:rsidRPr="00A3323F">
        <w:rPr>
          <w:rFonts w:ascii="Arial" w:hAnsi="Arial" w:cs="Arial"/>
          <w:szCs w:val="24"/>
        </w:rPr>
        <w:t xml:space="preserve"> </w:t>
      </w:r>
      <w:r w:rsidR="00EC566D" w:rsidRPr="00A3323F">
        <w:rPr>
          <w:rFonts w:ascii="Arial" w:hAnsi="Arial" w:cs="Arial"/>
          <w:szCs w:val="24"/>
        </w:rPr>
        <w:t>ha</w:t>
      </w:r>
      <w:r w:rsidRPr="00A3323F">
        <w:rPr>
          <w:rFonts w:ascii="Arial" w:hAnsi="Arial" w:cs="Arial"/>
          <w:szCs w:val="24"/>
        </w:rPr>
        <w:t>ve</w:t>
      </w:r>
      <w:r w:rsidR="00EC566D" w:rsidRPr="00A3323F">
        <w:rPr>
          <w:rFonts w:ascii="Arial" w:hAnsi="Arial" w:cs="Arial"/>
          <w:szCs w:val="24"/>
        </w:rPr>
        <w:t xml:space="preserve"> no </w:t>
      </w:r>
      <w:r w:rsidR="00A3323F">
        <w:rPr>
          <w:rFonts w:ascii="Arial" w:hAnsi="Arial" w:cs="Arial"/>
          <w:szCs w:val="24"/>
        </w:rPr>
        <w:t xml:space="preserve">significant </w:t>
      </w:r>
      <w:r w:rsidR="0070033B" w:rsidRPr="00A3323F">
        <w:rPr>
          <w:rFonts w:ascii="Arial" w:hAnsi="Arial" w:cs="Arial"/>
          <w:szCs w:val="24"/>
        </w:rPr>
        <w:t>financial implications</w:t>
      </w:r>
      <w:r w:rsidR="0070033B" w:rsidRPr="00E22A27">
        <w:rPr>
          <w:rFonts w:ascii="Arial" w:hAnsi="Arial" w:cs="Arial"/>
          <w:szCs w:val="24"/>
        </w:rPr>
        <w:t>.</w:t>
      </w:r>
      <w:r w:rsidR="00E40F4E">
        <w:rPr>
          <w:rFonts w:ascii="Arial" w:hAnsi="Arial" w:cs="Arial"/>
          <w:szCs w:val="24"/>
        </w:rPr>
        <w:t xml:space="preserve"> </w:t>
      </w:r>
      <w:r w:rsidR="006E4221">
        <w:rPr>
          <w:rFonts w:ascii="Arial" w:hAnsi="Arial" w:cs="Arial"/>
          <w:szCs w:val="24"/>
        </w:rPr>
        <w:t>C</w:t>
      </w:r>
      <w:r w:rsidR="00E40F4E">
        <w:rPr>
          <w:rFonts w:ascii="Arial" w:hAnsi="Arial" w:cs="Arial"/>
          <w:szCs w:val="24"/>
        </w:rPr>
        <w:t xml:space="preserve">osts for </w:t>
      </w:r>
      <w:r w:rsidR="006E4221">
        <w:rPr>
          <w:rFonts w:ascii="Arial" w:hAnsi="Arial" w:cs="Arial"/>
          <w:szCs w:val="24"/>
        </w:rPr>
        <w:t>initial set-</w:t>
      </w:r>
      <w:r w:rsidR="006E4221" w:rsidRPr="000074C0">
        <w:rPr>
          <w:rFonts w:ascii="Arial" w:hAnsi="Arial" w:cs="Arial"/>
          <w:szCs w:val="24"/>
        </w:rPr>
        <w:t xml:space="preserve">up and for ongoing administration of licensing </w:t>
      </w:r>
      <w:r w:rsidR="00CB2FD8">
        <w:rPr>
          <w:rFonts w:ascii="Arial" w:hAnsi="Arial" w:cs="Arial"/>
          <w:szCs w:val="24"/>
        </w:rPr>
        <w:t>will be</w:t>
      </w:r>
      <w:r w:rsidR="00CB2FD8" w:rsidRPr="000074C0">
        <w:rPr>
          <w:rFonts w:ascii="Arial" w:hAnsi="Arial" w:cs="Arial"/>
          <w:szCs w:val="24"/>
        </w:rPr>
        <w:t xml:space="preserve"> </w:t>
      </w:r>
      <w:r w:rsidR="006E4221" w:rsidRPr="000074C0">
        <w:rPr>
          <w:rFonts w:ascii="Arial" w:hAnsi="Arial" w:cs="Arial"/>
          <w:szCs w:val="24"/>
        </w:rPr>
        <w:t xml:space="preserve">recoverable through </w:t>
      </w:r>
      <w:r w:rsidR="00CB2FD8">
        <w:rPr>
          <w:rFonts w:ascii="Arial" w:hAnsi="Arial" w:cs="Arial"/>
          <w:szCs w:val="24"/>
        </w:rPr>
        <w:t xml:space="preserve">new </w:t>
      </w:r>
      <w:r w:rsidR="006E4221" w:rsidRPr="000074C0">
        <w:rPr>
          <w:rFonts w:ascii="Arial" w:hAnsi="Arial" w:cs="Arial"/>
          <w:szCs w:val="24"/>
        </w:rPr>
        <w:t xml:space="preserve">licensing fees </w:t>
      </w:r>
      <w:r w:rsidR="00BC0D80" w:rsidRPr="000074C0">
        <w:rPr>
          <w:rFonts w:ascii="Arial" w:hAnsi="Arial" w:cs="Arial"/>
          <w:szCs w:val="24"/>
        </w:rPr>
        <w:t xml:space="preserve">and </w:t>
      </w:r>
      <w:r w:rsidR="00B72C75">
        <w:rPr>
          <w:rFonts w:ascii="Arial" w:hAnsi="Arial" w:cs="Arial"/>
          <w:szCs w:val="24"/>
        </w:rPr>
        <w:t xml:space="preserve">annual </w:t>
      </w:r>
      <w:r w:rsidR="00802525">
        <w:rPr>
          <w:rFonts w:ascii="Arial" w:hAnsi="Arial" w:cs="Arial"/>
          <w:szCs w:val="24"/>
        </w:rPr>
        <w:t>industry</w:t>
      </w:r>
      <w:r w:rsidR="006E4221" w:rsidRPr="000074C0">
        <w:rPr>
          <w:rFonts w:ascii="Arial" w:hAnsi="Arial" w:cs="Arial"/>
          <w:szCs w:val="24"/>
        </w:rPr>
        <w:t xml:space="preserve"> levies</w:t>
      </w:r>
      <w:r w:rsidR="00CB2FD8">
        <w:rPr>
          <w:rFonts w:ascii="Arial" w:hAnsi="Arial" w:cs="Arial"/>
          <w:szCs w:val="24"/>
        </w:rPr>
        <w:t xml:space="preserve">. </w:t>
      </w:r>
      <w:r w:rsidR="00355324">
        <w:rPr>
          <w:rFonts w:ascii="Arial" w:hAnsi="Arial" w:cs="Arial"/>
          <w:szCs w:val="24"/>
        </w:rPr>
        <w:t>Officials</w:t>
      </w:r>
      <w:r w:rsidR="009831D4">
        <w:rPr>
          <w:rFonts w:ascii="Arial" w:hAnsi="Arial" w:cs="Arial"/>
          <w:szCs w:val="24"/>
        </w:rPr>
        <w:t xml:space="preserve"> expect that any increased cost to the FMA of monitoring and supervision will be absorbed in their baseline but will keep this under review.</w:t>
      </w:r>
    </w:p>
    <w:p w:rsidR="0070033B" w:rsidRPr="00F642C6" w:rsidRDefault="0070033B" w:rsidP="00CF664B">
      <w:pPr>
        <w:pStyle w:val="CabStandard"/>
        <w:numPr>
          <w:ilvl w:val="0"/>
          <w:numId w:val="0"/>
        </w:numPr>
        <w:rPr>
          <w:rFonts w:ascii="Arial" w:hAnsi="Arial" w:cs="Arial"/>
          <w:b/>
          <w:szCs w:val="24"/>
        </w:rPr>
      </w:pPr>
      <w:r w:rsidRPr="00F642C6">
        <w:rPr>
          <w:rFonts w:ascii="Arial" w:hAnsi="Arial" w:cs="Arial"/>
          <w:b/>
          <w:szCs w:val="24"/>
        </w:rPr>
        <w:t xml:space="preserve">Human Rights </w:t>
      </w:r>
    </w:p>
    <w:p w:rsidR="007F16EC" w:rsidRDefault="007F16EC" w:rsidP="00BF44A3">
      <w:pPr>
        <w:pStyle w:val="CabStandard"/>
        <w:tabs>
          <w:tab w:val="clear" w:pos="1004"/>
          <w:tab w:val="num" w:pos="720"/>
        </w:tabs>
        <w:ind w:left="720"/>
        <w:rPr>
          <w:rFonts w:ascii="Arial" w:hAnsi="Arial" w:cs="Arial"/>
          <w:szCs w:val="24"/>
        </w:rPr>
      </w:pPr>
      <w:r w:rsidRPr="007F16EC">
        <w:rPr>
          <w:rFonts w:ascii="Arial" w:hAnsi="Arial" w:cs="Arial"/>
          <w:szCs w:val="24"/>
        </w:rPr>
        <w:t xml:space="preserve">There are </w:t>
      </w:r>
      <w:r w:rsidR="00EC566D" w:rsidRPr="007F16EC">
        <w:rPr>
          <w:rFonts w:ascii="Arial" w:hAnsi="Arial" w:cs="Arial"/>
          <w:szCs w:val="24"/>
        </w:rPr>
        <w:t xml:space="preserve">no </w:t>
      </w:r>
      <w:r w:rsidR="0070033B" w:rsidRPr="007F16EC">
        <w:rPr>
          <w:rFonts w:ascii="Arial" w:hAnsi="Arial" w:cs="Arial"/>
          <w:szCs w:val="24"/>
        </w:rPr>
        <w:t>human rights implications</w:t>
      </w:r>
      <w:r w:rsidRPr="007F16EC">
        <w:rPr>
          <w:rFonts w:ascii="Arial" w:hAnsi="Arial" w:cs="Arial"/>
          <w:szCs w:val="24"/>
        </w:rPr>
        <w:t xml:space="preserve"> arising out of this paper</w:t>
      </w:r>
      <w:r w:rsidR="00E800B1" w:rsidRPr="007F16EC">
        <w:rPr>
          <w:rFonts w:ascii="Arial" w:hAnsi="Arial" w:cs="Arial"/>
          <w:szCs w:val="24"/>
        </w:rPr>
        <w:t>.</w:t>
      </w:r>
      <w:r w:rsidR="00EC566D" w:rsidRPr="007F16EC">
        <w:rPr>
          <w:rFonts w:ascii="Arial" w:hAnsi="Arial" w:cs="Arial"/>
          <w:szCs w:val="24"/>
        </w:rPr>
        <w:t xml:space="preserve"> </w:t>
      </w:r>
    </w:p>
    <w:p w:rsidR="0070033B" w:rsidRPr="007F16EC" w:rsidRDefault="0070033B" w:rsidP="00CF664B">
      <w:pPr>
        <w:pStyle w:val="CabStandard"/>
        <w:numPr>
          <w:ilvl w:val="0"/>
          <w:numId w:val="0"/>
        </w:numPr>
        <w:tabs>
          <w:tab w:val="num" w:pos="720"/>
        </w:tabs>
        <w:rPr>
          <w:rFonts w:ascii="Arial" w:hAnsi="Arial" w:cs="Arial"/>
          <w:b/>
          <w:szCs w:val="24"/>
        </w:rPr>
      </w:pPr>
      <w:r w:rsidRPr="007F16EC">
        <w:rPr>
          <w:rFonts w:ascii="Arial" w:hAnsi="Arial" w:cs="Arial"/>
          <w:b/>
          <w:szCs w:val="24"/>
        </w:rPr>
        <w:lastRenderedPageBreak/>
        <w:t>Legislative Implications</w:t>
      </w:r>
    </w:p>
    <w:p w:rsidR="00EC566D" w:rsidRPr="00F87C91" w:rsidRDefault="00FA675A" w:rsidP="003150F0">
      <w:pPr>
        <w:pStyle w:val="CabStandard"/>
        <w:tabs>
          <w:tab w:val="clear" w:pos="1004"/>
          <w:tab w:val="num" w:pos="720"/>
        </w:tabs>
        <w:ind w:left="720"/>
        <w:rPr>
          <w:rFonts w:ascii="Arial" w:hAnsi="Arial" w:cs="Arial"/>
          <w:szCs w:val="24"/>
        </w:rPr>
      </w:pPr>
      <w:r w:rsidRPr="00F87C91">
        <w:rPr>
          <w:rFonts w:ascii="Arial" w:hAnsi="Arial" w:cs="Arial"/>
          <w:szCs w:val="24"/>
        </w:rPr>
        <w:t xml:space="preserve">The proposals in this paper will involve </w:t>
      </w:r>
      <w:r w:rsidR="003E3030" w:rsidRPr="00F87C91">
        <w:rPr>
          <w:rFonts w:ascii="Arial" w:hAnsi="Arial" w:cs="Arial"/>
          <w:szCs w:val="24"/>
        </w:rPr>
        <w:t xml:space="preserve">an amendment to the Financial Markets Conduct Act 2013 and </w:t>
      </w:r>
      <w:r w:rsidR="002C1ACA" w:rsidRPr="00F87C91">
        <w:rPr>
          <w:rFonts w:ascii="Arial" w:hAnsi="Arial" w:cs="Arial"/>
          <w:szCs w:val="24"/>
        </w:rPr>
        <w:t xml:space="preserve">the making of new regulations under </w:t>
      </w:r>
      <w:r w:rsidRPr="00F87C91">
        <w:rPr>
          <w:rFonts w:ascii="Arial" w:hAnsi="Arial" w:cs="Arial"/>
          <w:szCs w:val="24"/>
        </w:rPr>
        <w:t>th</w:t>
      </w:r>
      <w:r w:rsidR="003E3030" w:rsidRPr="00F87C91">
        <w:rPr>
          <w:rFonts w:ascii="Arial" w:hAnsi="Arial" w:cs="Arial"/>
          <w:szCs w:val="24"/>
        </w:rPr>
        <w:t>at</w:t>
      </w:r>
      <w:r w:rsidRPr="00F87C91">
        <w:rPr>
          <w:rFonts w:ascii="Arial" w:hAnsi="Arial" w:cs="Arial"/>
          <w:szCs w:val="24"/>
        </w:rPr>
        <w:t xml:space="preserve"> </w:t>
      </w:r>
      <w:r w:rsidR="003E3030" w:rsidRPr="00F87C91">
        <w:rPr>
          <w:rFonts w:ascii="Arial" w:hAnsi="Arial" w:cs="Arial"/>
          <w:szCs w:val="24"/>
        </w:rPr>
        <w:t>Act</w:t>
      </w:r>
      <w:r w:rsidR="00C501C3" w:rsidRPr="00F87C91">
        <w:rPr>
          <w:rFonts w:ascii="Arial" w:hAnsi="Arial" w:cs="Arial"/>
          <w:szCs w:val="24"/>
        </w:rPr>
        <w:t xml:space="preserve"> prescribing licensing standards and conditions</w:t>
      </w:r>
      <w:r w:rsidRPr="00F87C91">
        <w:rPr>
          <w:rFonts w:ascii="Arial" w:hAnsi="Arial" w:cs="Arial"/>
          <w:szCs w:val="24"/>
        </w:rPr>
        <w:t>.</w:t>
      </w:r>
      <w:r w:rsidR="00097754" w:rsidRPr="00F87C91">
        <w:rPr>
          <w:rFonts w:ascii="Arial" w:hAnsi="Arial" w:cs="Arial"/>
          <w:szCs w:val="24"/>
        </w:rPr>
        <w:t xml:space="preserve"> I propose that </w:t>
      </w:r>
      <w:r w:rsidR="00C501C3" w:rsidRPr="00F87C91">
        <w:rPr>
          <w:rFonts w:ascii="Arial" w:hAnsi="Arial" w:cs="Arial"/>
          <w:szCs w:val="24"/>
        </w:rPr>
        <w:t xml:space="preserve">the </w:t>
      </w:r>
      <w:r w:rsidR="00097754" w:rsidRPr="00F87C91">
        <w:rPr>
          <w:rFonts w:ascii="Arial" w:hAnsi="Arial" w:cs="Arial"/>
          <w:szCs w:val="24"/>
        </w:rPr>
        <w:t xml:space="preserve">required amendment to the Act be incorporated in the </w:t>
      </w:r>
      <w:r w:rsidR="00E129B0" w:rsidRPr="00F87C91">
        <w:rPr>
          <w:rFonts w:ascii="Arial" w:hAnsi="Arial" w:cs="Arial"/>
          <w:szCs w:val="24"/>
        </w:rPr>
        <w:t>International Financial Reforms Amendment</w:t>
      </w:r>
      <w:r w:rsidR="00097754" w:rsidRPr="00F87C91">
        <w:rPr>
          <w:rFonts w:ascii="Arial" w:hAnsi="Arial" w:cs="Arial"/>
          <w:szCs w:val="24"/>
        </w:rPr>
        <w:t xml:space="preserve"> Bill</w:t>
      </w:r>
      <w:r w:rsidR="001A3AEE">
        <w:rPr>
          <w:rFonts w:ascii="Arial" w:hAnsi="Arial" w:cs="Arial"/>
          <w:szCs w:val="24"/>
        </w:rPr>
        <w:t xml:space="preserve"> </w:t>
      </w:r>
      <w:r w:rsidR="001A3AEE" w:rsidRPr="001A3AEE">
        <w:rPr>
          <w:rFonts w:ascii="Arial" w:hAnsi="Arial" w:cs="Arial"/>
          <w:color w:val="FF0000"/>
          <w:szCs w:val="24"/>
        </w:rPr>
        <w:t xml:space="preserve">- </w:t>
      </w:r>
      <w:proofErr w:type="gramStart"/>
      <w:r w:rsidR="001A3AEE">
        <w:rPr>
          <w:rFonts w:ascii="Arial" w:hAnsi="Arial" w:cs="Arial"/>
          <w:b/>
          <w:bCs/>
          <w:color w:val="FF0000"/>
          <w:sz w:val="23"/>
          <w:szCs w:val="23"/>
        </w:rPr>
        <w:t>s9(</w:t>
      </w:r>
      <w:proofErr w:type="gramEnd"/>
      <w:r w:rsidR="001A3AEE">
        <w:rPr>
          <w:rFonts w:ascii="Arial" w:hAnsi="Arial" w:cs="Arial"/>
          <w:b/>
          <w:bCs/>
          <w:color w:val="FF0000"/>
          <w:sz w:val="23"/>
          <w:szCs w:val="23"/>
        </w:rPr>
        <w:t>2)(f)(iv)</w:t>
      </w:r>
      <w:r w:rsidR="00097754" w:rsidRPr="00F87C91">
        <w:rPr>
          <w:rFonts w:ascii="Arial" w:hAnsi="Arial" w:cs="Arial"/>
          <w:szCs w:val="24"/>
        </w:rPr>
        <w:t>.</w:t>
      </w:r>
    </w:p>
    <w:p w:rsidR="0070033B" w:rsidRPr="00F642C6" w:rsidRDefault="0070033B" w:rsidP="00FD675B">
      <w:pPr>
        <w:pStyle w:val="CabStandard"/>
        <w:numPr>
          <w:ilvl w:val="0"/>
          <w:numId w:val="0"/>
        </w:numPr>
        <w:rPr>
          <w:rFonts w:ascii="Arial" w:hAnsi="Arial" w:cs="Arial"/>
          <w:b/>
          <w:szCs w:val="24"/>
        </w:rPr>
      </w:pPr>
      <w:bookmarkStart w:id="4" w:name="regulatory-impact-analysis"/>
      <w:bookmarkEnd w:id="4"/>
      <w:r w:rsidRPr="00F642C6">
        <w:rPr>
          <w:rFonts w:ascii="Arial" w:hAnsi="Arial" w:cs="Arial"/>
          <w:b/>
          <w:szCs w:val="24"/>
        </w:rPr>
        <w:t>Regulatory Impact Analysis</w:t>
      </w:r>
    </w:p>
    <w:p w:rsidR="00126E5D" w:rsidRDefault="00E800B1" w:rsidP="000965A6">
      <w:pPr>
        <w:pStyle w:val="CabStandard"/>
        <w:tabs>
          <w:tab w:val="clear" w:pos="1004"/>
          <w:tab w:val="num" w:pos="720"/>
        </w:tabs>
        <w:ind w:left="720"/>
        <w:rPr>
          <w:rFonts w:ascii="Arial" w:hAnsi="Arial" w:cs="Arial"/>
          <w:szCs w:val="24"/>
        </w:rPr>
      </w:pPr>
      <w:r>
        <w:rPr>
          <w:rFonts w:ascii="Arial" w:hAnsi="Arial" w:cs="Arial"/>
          <w:szCs w:val="24"/>
        </w:rPr>
        <w:t>MBIE</w:t>
      </w:r>
      <w:r w:rsidR="008F0730">
        <w:rPr>
          <w:rFonts w:ascii="Arial" w:hAnsi="Arial" w:cs="Arial"/>
          <w:szCs w:val="24"/>
        </w:rPr>
        <w:t>’s</w:t>
      </w:r>
      <w:r w:rsidR="00FD5189" w:rsidRPr="00FD5189">
        <w:rPr>
          <w:rFonts w:ascii="Arial" w:hAnsi="Arial" w:cs="Arial"/>
          <w:szCs w:val="24"/>
        </w:rPr>
        <w:t xml:space="preserve"> </w:t>
      </w:r>
      <w:r w:rsidRPr="00E800B1">
        <w:rPr>
          <w:rFonts w:ascii="Arial" w:hAnsi="Arial" w:cs="Arial"/>
          <w:szCs w:val="24"/>
        </w:rPr>
        <w:t>Regulatory Impact Analysis Review Panel has reviewed the attached Impact Summary. It considers that the information and analysis summarised in the Impact Summary meets the criteria necessary for Ministers to fairly compare the available policy options and take informed decisions on the proposals in this paper.</w:t>
      </w:r>
    </w:p>
    <w:p w:rsidR="0070033B" w:rsidRPr="00F642C6" w:rsidRDefault="0070033B" w:rsidP="00CF664B">
      <w:pPr>
        <w:pStyle w:val="CabStandard"/>
        <w:numPr>
          <w:ilvl w:val="0"/>
          <w:numId w:val="0"/>
        </w:numPr>
        <w:rPr>
          <w:rFonts w:ascii="Arial" w:hAnsi="Arial" w:cs="Arial"/>
          <w:b/>
          <w:szCs w:val="24"/>
        </w:rPr>
      </w:pPr>
      <w:r w:rsidRPr="00F642C6">
        <w:rPr>
          <w:rFonts w:ascii="Arial" w:hAnsi="Arial" w:cs="Arial"/>
          <w:b/>
          <w:szCs w:val="24"/>
        </w:rPr>
        <w:t xml:space="preserve">Publicity </w:t>
      </w:r>
    </w:p>
    <w:p w:rsidR="006E1D0C" w:rsidRDefault="005D3046" w:rsidP="003150F0">
      <w:pPr>
        <w:pStyle w:val="CabStandard"/>
        <w:tabs>
          <w:tab w:val="clear" w:pos="1004"/>
          <w:tab w:val="num" w:pos="720"/>
        </w:tabs>
        <w:ind w:left="720"/>
        <w:rPr>
          <w:rFonts w:ascii="Arial" w:hAnsi="Arial" w:cs="Arial"/>
          <w:szCs w:val="24"/>
        </w:rPr>
      </w:pPr>
      <w:r>
        <w:rPr>
          <w:rFonts w:ascii="Arial" w:hAnsi="Arial" w:cs="Arial"/>
          <w:szCs w:val="24"/>
        </w:rPr>
        <w:t xml:space="preserve">I do not propose to issue a press release </w:t>
      </w:r>
      <w:r w:rsidR="00FC4346">
        <w:rPr>
          <w:rFonts w:ascii="Arial" w:hAnsi="Arial" w:cs="Arial"/>
          <w:szCs w:val="24"/>
        </w:rPr>
        <w:t xml:space="preserve">regarding the decisions in this paper </w:t>
      </w:r>
      <w:r>
        <w:rPr>
          <w:rFonts w:ascii="Arial" w:hAnsi="Arial" w:cs="Arial"/>
          <w:szCs w:val="24"/>
        </w:rPr>
        <w:t xml:space="preserve">but </w:t>
      </w:r>
      <w:r w:rsidR="003A0AC5">
        <w:rPr>
          <w:rFonts w:ascii="Arial" w:hAnsi="Arial" w:cs="Arial"/>
          <w:szCs w:val="24"/>
        </w:rPr>
        <w:t>MBIE</w:t>
      </w:r>
      <w:r w:rsidR="00511AE3" w:rsidRPr="006E1D0C">
        <w:rPr>
          <w:rFonts w:ascii="Arial" w:hAnsi="Arial" w:cs="Arial"/>
          <w:szCs w:val="24"/>
        </w:rPr>
        <w:t xml:space="preserve"> will </w:t>
      </w:r>
      <w:r w:rsidR="002248E1">
        <w:rPr>
          <w:rFonts w:ascii="Arial" w:hAnsi="Arial" w:cs="Arial"/>
          <w:szCs w:val="24"/>
        </w:rPr>
        <w:t xml:space="preserve">inform </w:t>
      </w:r>
      <w:r w:rsidR="006E1D0C">
        <w:rPr>
          <w:rFonts w:ascii="Arial" w:hAnsi="Arial" w:cs="Arial"/>
          <w:szCs w:val="24"/>
        </w:rPr>
        <w:t>key stakeholders directly</w:t>
      </w:r>
      <w:r w:rsidR="009E53A8">
        <w:rPr>
          <w:rFonts w:ascii="Arial" w:hAnsi="Arial" w:cs="Arial"/>
          <w:szCs w:val="24"/>
        </w:rPr>
        <w:t xml:space="preserve"> as appropriate</w:t>
      </w:r>
      <w:r w:rsidR="002248E1">
        <w:rPr>
          <w:rFonts w:ascii="Arial" w:hAnsi="Arial" w:cs="Arial"/>
          <w:szCs w:val="24"/>
        </w:rPr>
        <w:t>.</w:t>
      </w:r>
    </w:p>
    <w:p w:rsidR="005D3046" w:rsidRPr="005D3046" w:rsidRDefault="005D3046" w:rsidP="005D3046">
      <w:pPr>
        <w:pStyle w:val="CabStandard"/>
        <w:numPr>
          <w:ilvl w:val="0"/>
          <w:numId w:val="0"/>
        </w:numPr>
        <w:rPr>
          <w:rFonts w:ascii="Arial" w:hAnsi="Arial" w:cs="Arial"/>
          <w:b/>
          <w:szCs w:val="24"/>
        </w:rPr>
      </w:pPr>
      <w:r w:rsidRPr="005D3046">
        <w:rPr>
          <w:rFonts w:ascii="Arial" w:hAnsi="Arial" w:cs="Arial"/>
          <w:b/>
          <w:szCs w:val="24"/>
        </w:rPr>
        <w:t>Proactive release</w:t>
      </w:r>
    </w:p>
    <w:p w:rsidR="005D3046" w:rsidRDefault="005D3046" w:rsidP="003150F0">
      <w:pPr>
        <w:pStyle w:val="CabStandard"/>
        <w:tabs>
          <w:tab w:val="clear" w:pos="1004"/>
          <w:tab w:val="num" w:pos="720"/>
        </w:tabs>
        <w:ind w:left="720"/>
        <w:rPr>
          <w:rFonts w:ascii="Arial" w:hAnsi="Arial" w:cs="Arial"/>
          <w:szCs w:val="24"/>
        </w:rPr>
      </w:pPr>
      <w:r>
        <w:rPr>
          <w:rFonts w:ascii="Arial" w:hAnsi="Arial" w:cs="Arial"/>
          <w:szCs w:val="24"/>
        </w:rPr>
        <w:t>I propose that, subject to Cabinet’s agreement to the proposals in this paper, it be proactively released on MBIE’s website</w:t>
      </w:r>
      <w:r w:rsidR="00521154">
        <w:rPr>
          <w:rFonts w:ascii="Arial" w:hAnsi="Arial" w:cs="Arial"/>
          <w:szCs w:val="24"/>
        </w:rPr>
        <w:t xml:space="preserve"> with appropriate redaction</w:t>
      </w:r>
      <w:r w:rsidR="007223C3">
        <w:rPr>
          <w:rFonts w:ascii="Arial" w:hAnsi="Arial" w:cs="Arial"/>
          <w:szCs w:val="24"/>
        </w:rPr>
        <w:t>s</w:t>
      </w:r>
      <w:r>
        <w:rPr>
          <w:rFonts w:ascii="Arial" w:hAnsi="Arial" w:cs="Arial"/>
          <w:szCs w:val="24"/>
        </w:rPr>
        <w:t>.</w:t>
      </w:r>
    </w:p>
    <w:p w:rsidR="00963131" w:rsidRDefault="00963131" w:rsidP="00CF664B">
      <w:pPr>
        <w:rPr>
          <w:rFonts w:ascii="Arial" w:hAnsi="Arial" w:cs="Arial"/>
          <w:b/>
          <w:sz w:val="24"/>
          <w:szCs w:val="24"/>
        </w:rPr>
      </w:pPr>
    </w:p>
    <w:p w:rsidR="00743131" w:rsidRDefault="00743131" w:rsidP="00CF664B">
      <w:pPr>
        <w:rPr>
          <w:rFonts w:ascii="Arial" w:hAnsi="Arial" w:cs="Arial"/>
          <w:b/>
          <w:sz w:val="24"/>
          <w:szCs w:val="24"/>
        </w:rPr>
      </w:pPr>
    </w:p>
    <w:p w:rsidR="0070033B" w:rsidRPr="00F642C6" w:rsidRDefault="0070033B" w:rsidP="00CF664B">
      <w:pPr>
        <w:rPr>
          <w:rFonts w:ascii="Arial" w:hAnsi="Arial" w:cs="Arial"/>
          <w:b/>
          <w:sz w:val="24"/>
          <w:szCs w:val="24"/>
        </w:rPr>
      </w:pPr>
      <w:r w:rsidRPr="00F642C6">
        <w:rPr>
          <w:rFonts w:ascii="Arial" w:hAnsi="Arial" w:cs="Arial"/>
          <w:b/>
          <w:sz w:val="24"/>
          <w:szCs w:val="24"/>
        </w:rPr>
        <w:t xml:space="preserve">Recommendations </w:t>
      </w:r>
    </w:p>
    <w:p w:rsidR="004C20F5" w:rsidRDefault="006E1D0C" w:rsidP="00CF664B">
      <w:pPr>
        <w:pStyle w:val="CabStandard"/>
        <w:numPr>
          <w:ilvl w:val="0"/>
          <w:numId w:val="0"/>
        </w:numPr>
        <w:rPr>
          <w:rFonts w:ascii="Arial" w:hAnsi="Arial" w:cs="Arial"/>
          <w:szCs w:val="24"/>
        </w:rPr>
      </w:pPr>
      <w:r>
        <w:rPr>
          <w:rFonts w:ascii="Arial" w:hAnsi="Arial" w:cs="Arial"/>
          <w:szCs w:val="24"/>
        </w:rPr>
        <w:lastRenderedPageBreak/>
        <w:t>I</w:t>
      </w:r>
      <w:r w:rsidR="0070033B" w:rsidRPr="00F642C6">
        <w:rPr>
          <w:rFonts w:ascii="Arial" w:hAnsi="Arial" w:cs="Arial"/>
          <w:szCs w:val="24"/>
        </w:rPr>
        <w:t xml:space="preserve"> recommend</w:t>
      </w:r>
      <w:r w:rsidR="006268E8" w:rsidRPr="00F642C6">
        <w:rPr>
          <w:rFonts w:ascii="Arial" w:hAnsi="Arial" w:cs="Arial"/>
          <w:szCs w:val="24"/>
        </w:rPr>
        <w:t xml:space="preserve"> </w:t>
      </w:r>
      <w:r w:rsidR="0070033B" w:rsidRPr="00F642C6">
        <w:rPr>
          <w:rFonts w:ascii="Arial" w:hAnsi="Arial" w:cs="Arial"/>
          <w:szCs w:val="24"/>
        </w:rPr>
        <w:t>that the Committee:</w:t>
      </w:r>
    </w:p>
    <w:p w:rsidR="00B51E38" w:rsidRDefault="00E06292" w:rsidP="006B7D8E">
      <w:pPr>
        <w:pStyle w:val="CabStandard"/>
        <w:numPr>
          <w:ilvl w:val="0"/>
          <w:numId w:val="2"/>
        </w:numPr>
        <w:rPr>
          <w:rFonts w:ascii="Arial" w:hAnsi="Arial" w:cs="Arial"/>
          <w:szCs w:val="24"/>
        </w:rPr>
      </w:pPr>
      <w:r>
        <w:rPr>
          <w:rFonts w:ascii="Arial" w:hAnsi="Arial" w:cs="Arial"/>
          <w:b/>
          <w:szCs w:val="24"/>
        </w:rPr>
        <w:t>n</w:t>
      </w:r>
      <w:r w:rsidR="0070033B" w:rsidRPr="00F642C6">
        <w:rPr>
          <w:rFonts w:ascii="Arial" w:hAnsi="Arial" w:cs="Arial"/>
          <w:b/>
          <w:szCs w:val="24"/>
        </w:rPr>
        <w:t>ote</w:t>
      </w:r>
      <w:r>
        <w:rPr>
          <w:rFonts w:ascii="Arial" w:hAnsi="Arial" w:cs="Arial"/>
          <w:b/>
          <w:szCs w:val="24"/>
        </w:rPr>
        <w:t xml:space="preserve"> </w:t>
      </w:r>
      <w:r>
        <w:rPr>
          <w:rFonts w:ascii="Arial" w:hAnsi="Arial" w:cs="Arial"/>
          <w:szCs w:val="24"/>
        </w:rPr>
        <w:t>that</w:t>
      </w:r>
      <w:r w:rsidR="000301BB">
        <w:rPr>
          <w:rFonts w:ascii="Arial" w:hAnsi="Arial" w:cs="Arial"/>
          <w:szCs w:val="24"/>
        </w:rPr>
        <w:t xml:space="preserve"> financial benchmarks</w:t>
      </w:r>
      <w:r w:rsidR="00927A3D">
        <w:rPr>
          <w:rFonts w:ascii="Arial" w:hAnsi="Arial" w:cs="Arial"/>
          <w:szCs w:val="24"/>
        </w:rPr>
        <w:t>, such as the Bank Bill Benchmark Rate</w:t>
      </w:r>
      <w:r w:rsidR="007356DC">
        <w:rPr>
          <w:rFonts w:ascii="Arial" w:hAnsi="Arial" w:cs="Arial"/>
          <w:szCs w:val="24"/>
        </w:rPr>
        <w:t xml:space="preserve"> (BKBM)</w:t>
      </w:r>
      <w:r w:rsidR="00927A3D">
        <w:rPr>
          <w:rFonts w:ascii="Arial" w:hAnsi="Arial" w:cs="Arial"/>
          <w:szCs w:val="24"/>
        </w:rPr>
        <w:t>,</w:t>
      </w:r>
      <w:r w:rsidR="000301BB">
        <w:rPr>
          <w:rFonts w:ascii="Arial" w:hAnsi="Arial" w:cs="Arial"/>
          <w:szCs w:val="24"/>
        </w:rPr>
        <w:t xml:space="preserve"> </w:t>
      </w:r>
      <w:r w:rsidR="000301BB" w:rsidRPr="00DF5838">
        <w:rPr>
          <w:rFonts w:ascii="Arial" w:hAnsi="Arial" w:cs="Arial"/>
          <w:szCs w:val="24"/>
        </w:rPr>
        <w:t>are critical</w:t>
      </w:r>
      <w:r w:rsidR="000301BB">
        <w:rPr>
          <w:rFonts w:ascii="Arial" w:hAnsi="Arial" w:cs="Arial"/>
          <w:szCs w:val="24"/>
        </w:rPr>
        <w:t xml:space="preserve">ly important to </w:t>
      </w:r>
      <w:r w:rsidR="00927A3D">
        <w:rPr>
          <w:rFonts w:ascii="Arial" w:hAnsi="Arial" w:cs="Arial"/>
          <w:szCs w:val="24"/>
        </w:rPr>
        <w:t xml:space="preserve">New Zealand’s </w:t>
      </w:r>
      <w:r w:rsidR="000301BB" w:rsidRPr="00DF5838">
        <w:rPr>
          <w:rFonts w:ascii="Arial" w:hAnsi="Arial" w:cs="Arial"/>
          <w:szCs w:val="24"/>
        </w:rPr>
        <w:t xml:space="preserve">financial markets and </w:t>
      </w:r>
      <w:r w:rsidR="00927A3D">
        <w:rPr>
          <w:rFonts w:ascii="Arial" w:hAnsi="Arial" w:cs="Arial"/>
          <w:szCs w:val="24"/>
        </w:rPr>
        <w:t>the</w:t>
      </w:r>
      <w:r w:rsidR="000301BB" w:rsidRPr="00DF5838">
        <w:rPr>
          <w:rFonts w:ascii="Arial" w:hAnsi="Arial" w:cs="Arial"/>
          <w:szCs w:val="24"/>
        </w:rPr>
        <w:t xml:space="preserve"> </w:t>
      </w:r>
      <w:r w:rsidR="000301BB">
        <w:rPr>
          <w:rFonts w:ascii="Arial" w:hAnsi="Arial" w:cs="Arial"/>
          <w:szCs w:val="24"/>
        </w:rPr>
        <w:t xml:space="preserve">broader </w:t>
      </w:r>
      <w:r w:rsidR="00927A3D">
        <w:rPr>
          <w:rFonts w:ascii="Arial" w:hAnsi="Arial" w:cs="Arial"/>
          <w:szCs w:val="24"/>
        </w:rPr>
        <w:t>e</w:t>
      </w:r>
      <w:r w:rsidR="00B5113D">
        <w:rPr>
          <w:rFonts w:ascii="Arial" w:hAnsi="Arial" w:cs="Arial"/>
          <w:szCs w:val="24"/>
        </w:rPr>
        <w:t>conomy;</w:t>
      </w:r>
    </w:p>
    <w:p w:rsidR="00B6786D" w:rsidRDefault="00B51E38" w:rsidP="00927A3D">
      <w:pPr>
        <w:pStyle w:val="CabStandard"/>
        <w:numPr>
          <w:ilvl w:val="0"/>
          <w:numId w:val="2"/>
        </w:numPr>
        <w:rPr>
          <w:rFonts w:ascii="Arial" w:hAnsi="Arial" w:cs="Arial"/>
          <w:szCs w:val="24"/>
        </w:rPr>
      </w:pPr>
      <w:r>
        <w:rPr>
          <w:rFonts w:ascii="Arial" w:hAnsi="Arial" w:cs="Arial"/>
          <w:b/>
          <w:szCs w:val="24"/>
        </w:rPr>
        <w:t xml:space="preserve">note </w:t>
      </w:r>
      <w:r w:rsidRPr="00B51E38">
        <w:rPr>
          <w:rFonts w:ascii="Arial" w:hAnsi="Arial" w:cs="Arial"/>
          <w:szCs w:val="24"/>
        </w:rPr>
        <w:t>that</w:t>
      </w:r>
      <w:r w:rsidR="00927A3D">
        <w:rPr>
          <w:rFonts w:ascii="Arial" w:hAnsi="Arial" w:cs="Arial"/>
          <w:szCs w:val="24"/>
        </w:rPr>
        <w:t xml:space="preserve"> European Union (EU) financial benchmark regulations,</w:t>
      </w:r>
      <w:r w:rsidR="00927A3D" w:rsidRPr="004A5A0B">
        <w:rPr>
          <w:rFonts w:ascii="Arial" w:hAnsi="Arial" w:cs="Arial"/>
          <w:szCs w:val="24"/>
        </w:rPr>
        <w:t xml:space="preserve"> which take full effect on 1 January 2020, </w:t>
      </w:r>
      <w:r w:rsidR="000B771B">
        <w:rPr>
          <w:rFonts w:ascii="Arial" w:hAnsi="Arial" w:cs="Arial"/>
          <w:szCs w:val="24"/>
        </w:rPr>
        <w:t>have significant implications</w:t>
      </w:r>
      <w:r w:rsidR="00927A3D" w:rsidRPr="004A5A0B">
        <w:rPr>
          <w:rFonts w:ascii="Arial" w:hAnsi="Arial" w:cs="Arial"/>
          <w:szCs w:val="24"/>
        </w:rPr>
        <w:t xml:space="preserve"> for </w:t>
      </w:r>
      <w:r w:rsidR="000E7924">
        <w:rPr>
          <w:rFonts w:ascii="Arial" w:hAnsi="Arial" w:cs="Arial"/>
          <w:szCs w:val="24"/>
        </w:rPr>
        <w:t>New Zealand</w:t>
      </w:r>
      <w:r w:rsidR="00927A3D" w:rsidRPr="004A5A0B">
        <w:rPr>
          <w:rFonts w:ascii="Arial" w:hAnsi="Arial" w:cs="Arial"/>
          <w:szCs w:val="24"/>
        </w:rPr>
        <w:t xml:space="preserve"> due to</w:t>
      </w:r>
      <w:r w:rsidR="00B6786D">
        <w:rPr>
          <w:rFonts w:ascii="Arial" w:hAnsi="Arial" w:cs="Arial"/>
          <w:szCs w:val="24"/>
        </w:rPr>
        <w:t>:</w:t>
      </w:r>
    </w:p>
    <w:p w:rsidR="00927A3D" w:rsidRDefault="00927A3D" w:rsidP="00B6786D">
      <w:pPr>
        <w:pStyle w:val="CabStandard"/>
        <w:numPr>
          <w:ilvl w:val="1"/>
          <w:numId w:val="2"/>
        </w:numPr>
        <w:tabs>
          <w:tab w:val="clear" w:pos="1440"/>
          <w:tab w:val="num" w:pos="284"/>
        </w:tabs>
        <w:ind w:left="1701" w:hanging="708"/>
        <w:rPr>
          <w:rFonts w:ascii="Arial" w:hAnsi="Arial" w:cs="Arial"/>
          <w:szCs w:val="24"/>
        </w:rPr>
      </w:pPr>
      <w:r w:rsidRPr="004A5A0B">
        <w:rPr>
          <w:rFonts w:ascii="Arial" w:hAnsi="Arial" w:cs="Arial"/>
          <w:szCs w:val="24"/>
        </w:rPr>
        <w:t xml:space="preserve">the potential for </w:t>
      </w:r>
      <w:r w:rsidR="00862701">
        <w:rPr>
          <w:rFonts w:ascii="Arial" w:hAnsi="Arial" w:cs="Arial"/>
          <w:szCs w:val="24"/>
        </w:rPr>
        <w:t xml:space="preserve">certain </w:t>
      </w:r>
      <w:r w:rsidR="000E7924">
        <w:rPr>
          <w:rFonts w:ascii="Arial" w:hAnsi="Arial" w:cs="Arial"/>
          <w:szCs w:val="24"/>
        </w:rPr>
        <w:t>New Zealand</w:t>
      </w:r>
      <w:r w:rsidR="00795FA5">
        <w:rPr>
          <w:rFonts w:ascii="Arial" w:hAnsi="Arial" w:cs="Arial"/>
          <w:szCs w:val="24"/>
        </w:rPr>
        <w:t xml:space="preserve"> </w:t>
      </w:r>
      <w:r w:rsidR="00F64A91">
        <w:rPr>
          <w:rFonts w:ascii="Arial" w:hAnsi="Arial" w:cs="Arial"/>
          <w:szCs w:val="24"/>
        </w:rPr>
        <w:t xml:space="preserve">financial </w:t>
      </w:r>
      <w:r w:rsidR="00795FA5">
        <w:rPr>
          <w:rFonts w:ascii="Arial" w:hAnsi="Arial" w:cs="Arial"/>
          <w:szCs w:val="24"/>
        </w:rPr>
        <w:t>benchmark</w:t>
      </w:r>
      <w:r w:rsidR="00ED5801">
        <w:rPr>
          <w:rFonts w:ascii="Arial" w:hAnsi="Arial" w:cs="Arial"/>
          <w:szCs w:val="24"/>
        </w:rPr>
        <w:t>s</w:t>
      </w:r>
      <w:r w:rsidR="00795FA5">
        <w:rPr>
          <w:rFonts w:ascii="Arial" w:hAnsi="Arial" w:cs="Arial"/>
          <w:szCs w:val="24"/>
        </w:rPr>
        <w:t xml:space="preserve"> </w:t>
      </w:r>
      <w:r w:rsidRPr="004A5A0B">
        <w:rPr>
          <w:rFonts w:ascii="Arial" w:hAnsi="Arial" w:cs="Arial"/>
          <w:szCs w:val="24"/>
        </w:rPr>
        <w:t xml:space="preserve">to </w:t>
      </w:r>
      <w:r w:rsidR="00222604">
        <w:rPr>
          <w:rFonts w:ascii="Arial" w:hAnsi="Arial" w:cs="Arial"/>
          <w:szCs w:val="24"/>
        </w:rPr>
        <w:t xml:space="preserve">not be accepted in </w:t>
      </w:r>
      <w:r w:rsidRPr="004A5A0B">
        <w:rPr>
          <w:rFonts w:ascii="Arial" w:hAnsi="Arial" w:cs="Arial"/>
          <w:szCs w:val="24"/>
        </w:rPr>
        <w:t>EU financial market</w:t>
      </w:r>
      <w:r w:rsidR="00B6786D">
        <w:rPr>
          <w:rFonts w:ascii="Arial" w:hAnsi="Arial" w:cs="Arial"/>
          <w:szCs w:val="24"/>
        </w:rPr>
        <w:t xml:space="preserve">s; </w:t>
      </w:r>
    </w:p>
    <w:p w:rsidR="00B6786D" w:rsidRDefault="00B6786D" w:rsidP="00B6786D">
      <w:pPr>
        <w:pStyle w:val="CabStandard"/>
        <w:numPr>
          <w:ilvl w:val="1"/>
          <w:numId w:val="2"/>
        </w:numPr>
        <w:tabs>
          <w:tab w:val="clear" w:pos="1440"/>
          <w:tab w:val="num" w:pos="284"/>
        </w:tabs>
        <w:ind w:left="1701" w:hanging="708"/>
        <w:rPr>
          <w:rFonts w:ascii="Arial" w:hAnsi="Arial" w:cs="Arial"/>
          <w:szCs w:val="24"/>
        </w:rPr>
      </w:pPr>
      <w:r>
        <w:rPr>
          <w:rFonts w:ascii="Arial" w:hAnsi="Arial" w:cs="Arial"/>
          <w:szCs w:val="24"/>
        </w:rPr>
        <w:t xml:space="preserve">consequent </w:t>
      </w:r>
      <w:r w:rsidR="00A83E7E">
        <w:rPr>
          <w:rFonts w:ascii="Arial" w:hAnsi="Arial" w:cs="Arial"/>
          <w:szCs w:val="24"/>
        </w:rPr>
        <w:t xml:space="preserve">loss of access </w:t>
      </w:r>
      <w:r w:rsidR="006D186D">
        <w:rPr>
          <w:rFonts w:ascii="Arial" w:hAnsi="Arial" w:cs="Arial"/>
          <w:szCs w:val="24"/>
        </w:rPr>
        <w:t xml:space="preserve">to EU financial markets </w:t>
      </w:r>
      <w:r w:rsidR="00A83E7E">
        <w:rPr>
          <w:rFonts w:ascii="Arial" w:hAnsi="Arial" w:cs="Arial"/>
          <w:szCs w:val="24"/>
        </w:rPr>
        <w:t xml:space="preserve">for New Zealand users </w:t>
      </w:r>
      <w:r w:rsidR="00F04B30">
        <w:rPr>
          <w:rFonts w:ascii="Arial" w:hAnsi="Arial" w:cs="Arial"/>
          <w:szCs w:val="24"/>
        </w:rPr>
        <w:t xml:space="preserve">of those benchmarks </w:t>
      </w:r>
      <w:r w:rsidR="00A83E7E">
        <w:rPr>
          <w:rFonts w:ascii="Arial" w:hAnsi="Arial" w:cs="Arial"/>
          <w:szCs w:val="24"/>
        </w:rPr>
        <w:t>and increased costs to those users, leading to significant costs to New Zealand</w:t>
      </w:r>
      <w:r w:rsidR="00F04B30">
        <w:rPr>
          <w:rFonts w:ascii="Arial" w:hAnsi="Arial" w:cs="Arial"/>
          <w:szCs w:val="24"/>
        </w:rPr>
        <w:t xml:space="preserve"> </w:t>
      </w:r>
      <w:r w:rsidR="002752F2">
        <w:rPr>
          <w:rFonts w:ascii="Arial" w:hAnsi="Arial" w:cs="Arial"/>
          <w:szCs w:val="24"/>
        </w:rPr>
        <w:t>businesses and</w:t>
      </w:r>
      <w:r w:rsidR="00F04B30">
        <w:rPr>
          <w:rFonts w:ascii="Arial" w:hAnsi="Arial" w:cs="Arial"/>
          <w:szCs w:val="24"/>
        </w:rPr>
        <w:t xml:space="preserve"> consumers</w:t>
      </w:r>
      <w:r w:rsidR="00B5113D">
        <w:rPr>
          <w:rFonts w:ascii="Arial" w:hAnsi="Arial" w:cs="Arial"/>
          <w:szCs w:val="24"/>
        </w:rPr>
        <w:t>;</w:t>
      </w:r>
      <w:r w:rsidR="00137A8A">
        <w:rPr>
          <w:rFonts w:ascii="Arial" w:hAnsi="Arial" w:cs="Arial"/>
          <w:szCs w:val="24"/>
        </w:rPr>
        <w:t xml:space="preserve"> and</w:t>
      </w:r>
    </w:p>
    <w:p w:rsidR="00137A8A" w:rsidRDefault="008853DC" w:rsidP="00B6786D">
      <w:pPr>
        <w:pStyle w:val="CabStandard"/>
        <w:numPr>
          <w:ilvl w:val="1"/>
          <w:numId w:val="2"/>
        </w:numPr>
        <w:tabs>
          <w:tab w:val="clear" w:pos="1440"/>
          <w:tab w:val="num" w:pos="284"/>
        </w:tabs>
        <w:ind w:left="1701" w:hanging="708"/>
        <w:rPr>
          <w:rFonts w:ascii="Arial" w:hAnsi="Arial" w:cs="Arial"/>
          <w:szCs w:val="24"/>
        </w:rPr>
      </w:pPr>
      <w:r>
        <w:rPr>
          <w:rFonts w:ascii="Arial" w:hAnsi="Arial" w:cs="Arial"/>
          <w:szCs w:val="24"/>
        </w:rPr>
        <w:t xml:space="preserve">other </w:t>
      </w:r>
      <w:r w:rsidR="00137A8A">
        <w:rPr>
          <w:rFonts w:ascii="Arial" w:hAnsi="Arial" w:cs="Arial"/>
          <w:szCs w:val="24"/>
        </w:rPr>
        <w:t>broader effects on New Zealand’s capital markets;</w:t>
      </w:r>
    </w:p>
    <w:p w:rsidR="00F0697B" w:rsidRDefault="00795FA5" w:rsidP="006B7D8E">
      <w:pPr>
        <w:pStyle w:val="CabStandard"/>
        <w:numPr>
          <w:ilvl w:val="0"/>
          <w:numId w:val="2"/>
        </w:numPr>
        <w:rPr>
          <w:rFonts w:ascii="Arial" w:hAnsi="Arial" w:cs="Arial"/>
          <w:szCs w:val="24"/>
        </w:rPr>
      </w:pPr>
      <w:r w:rsidRPr="00795FA5">
        <w:rPr>
          <w:rFonts w:ascii="Arial" w:hAnsi="Arial" w:cs="Arial"/>
          <w:b/>
          <w:szCs w:val="24"/>
        </w:rPr>
        <w:t>note</w:t>
      </w:r>
      <w:r>
        <w:rPr>
          <w:rFonts w:ascii="Arial" w:hAnsi="Arial" w:cs="Arial"/>
          <w:szCs w:val="24"/>
        </w:rPr>
        <w:t xml:space="preserve"> that the EU regulations provide for an EU ‘</w:t>
      </w:r>
      <w:r w:rsidRPr="000252A6">
        <w:rPr>
          <w:rFonts w:ascii="Arial" w:hAnsi="Arial" w:cs="Arial"/>
          <w:szCs w:val="24"/>
        </w:rPr>
        <w:t>equivalence</w:t>
      </w:r>
      <w:r>
        <w:rPr>
          <w:rFonts w:ascii="Arial" w:hAnsi="Arial" w:cs="Arial"/>
          <w:szCs w:val="24"/>
        </w:rPr>
        <w:t>’</w:t>
      </w:r>
      <w:r w:rsidRPr="000252A6">
        <w:rPr>
          <w:rFonts w:ascii="Arial" w:hAnsi="Arial" w:cs="Arial"/>
          <w:szCs w:val="24"/>
        </w:rPr>
        <w:t xml:space="preserve"> </w:t>
      </w:r>
      <w:r>
        <w:rPr>
          <w:rFonts w:ascii="Arial" w:hAnsi="Arial" w:cs="Arial"/>
          <w:szCs w:val="24"/>
        </w:rPr>
        <w:t xml:space="preserve">decision that would ensure continued </w:t>
      </w:r>
      <w:r w:rsidRPr="004A5A0B">
        <w:rPr>
          <w:rFonts w:ascii="Arial" w:hAnsi="Arial" w:cs="Arial"/>
          <w:szCs w:val="24"/>
        </w:rPr>
        <w:t>access</w:t>
      </w:r>
      <w:r>
        <w:rPr>
          <w:rFonts w:ascii="Arial" w:hAnsi="Arial" w:cs="Arial"/>
          <w:szCs w:val="24"/>
        </w:rPr>
        <w:t xml:space="preserve"> for </w:t>
      </w:r>
      <w:r w:rsidR="000E7924">
        <w:rPr>
          <w:rFonts w:ascii="Arial" w:hAnsi="Arial" w:cs="Arial"/>
          <w:szCs w:val="24"/>
        </w:rPr>
        <w:t>New Zealand</w:t>
      </w:r>
      <w:r>
        <w:rPr>
          <w:rFonts w:ascii="Arial" w:hAnsi="Arial" w:cs="Arial"/>
          <w:szCs w:val="24"/>
        </w:rPr>
        <w:t xml:space="preserve"> benchmark</w:t>
      </w:r>
      <w:r w:rsidR="00ED5801">
        <w:rPr>
          <w:rFonts w:ascii="Arial" w:hAnsi="Arial" w:cs="Arial"/>
          <w:szCs w:val="24"/>
        </w:rPr>
        <w:t>s</w:t>
      </w:r>
      <w:r>
        <w:rPr>
          <w:rFonts w:ascii="Arial" w:hAnsi="Arial" w:cs="Arial"/>
          <w:szCs w:val="24"/>
        </w:rPr>
        <w:t xml:space="preserve"> </w:t>
      </w:r>
      <w:r w:rsidRPr="004A5A0B">
        <w:rPr>
          <w:rFonts w:ascii="Arial" w:hAnsi="Arial" w:cs="Arial"/>
          <w:szCs w:val="24"/>
        </w:rPr>
        <w:t>to EU financial markets</w:t>
      </w:r>
      <w:r w:rsidR="00B5113D">
        <w:rPr>
          <w:rFonts w:ascii="Arial" w:hAnsi="Arial" w:cs="Arial"/>
          <w:szCs w:val="24"/>
        </w:rPr>
        <w:t>;</w:t>
      </w:r>
    </w:p>
    <w:p w:rsidR="00795FA5" w:rsidRPr="00F642C6" w:rsidRDefault="00795FA5" w:rsidP="006B7D8E">
      <w:pPr>
        <w:pStyle w:val="CabStandard"/>
        <w:numPr>
          <w:ilvl w:val="0"/>
          <w:numId w:val="2"/>
        </w:numPr>
        <w:rPr>
          <w:rFonts w:ascii="Arial" w:hAnsi="Arial" w:cs="Arial"/>
          <w:szCs w:val="24"/>
        </w:rPr>
      </w:pPr>
      <w:r>
        <w:rPr>
          <w:rFonts w:ascii="Arial" w:hAnsi="Arial" w:cs="Arial"/>
          <w:b/>
          <w:szCs w:val="24"/>
        </w:rPr>
        <w:t xml:space="preserve">note </w:t>
      </w:r>
      <w:r w:rsidRPr="00795FA5">
        <w:rPr>
          <w:rFonts w:ascii="Arial" w:hAnsi="Arial" w:cs="Arial"/>
          <w:szCs w:val="24"/>
        </w:rPr>
        <w:t>that</w:t>
      </w:r>
      <w:r>
        <w:rPr>
          <w:rFonts w:ascii="Arial" w:hAnsi="Arial" w:cs="Arial"/>
          <w:szCs w:val="24"/>
        </w:rPr>
        <w:t>, if</w:t>
      </w:r>
      <w:r w:rsidRPr="000252A6">
        <w:rPr>
          <w:rFonts w:ascii="Arial" w:hAnsi="Arial" w:cs="Arial"/>
          <w:szCs w:val="24"/>
        </w:rPr>
        <w:t xml:space="preserve"> </w:t>
      </w:r>
      <w:r w:rsidR="000E7924">
        <w:rPr>
          <w:rFonts w:ascii="Arial" w:hAnsi="Arial" w:cs="Arial"/>
          <w:szCs w:val="24"/>
        </w:rPr>
        <w:t>New Zealand</w:t>
      </w:r>
      <w:r w:rsidRPr="000252A6">
        <w:rPr>
          <w:rFonts w:ascii="Arial" w:hAnsi="Arial" w:cs="Arial"/>
          <w:szCs w:val="24"/>
        </w:rPr>
        <w:t xml:space="preserve"> establishes a </w:t>
      </w:r>
      <w:r w:rsidR="00ED5801">
        <w:rPr>
          <w:rFonts w:ascii="Arial" w:hAnsi="Arial" w:cs="Arial"/>
          <w:szCs w:val="24"/>
        </w:rPr>
        <w:t>licensing</w:t>
      </w:r>
      <w:r w:rsidRPr="000252A6">
        <w:rPr>
          <w:rFonts w:ascii="Arial" w:hAnsi="Arial" w:cs="Arial"/>
          <w:szCs w:val="24"/>
        </w:rPr>
        <w:t xml:space="preserve"> regime</w:t>
      </w:r>
      <w:r>
        <w:rPr>
          <w:rFonts w:ascii="Arial" w:hAnsi="Arial" w:cs="Arial"/>
          <w:szCs w:val="24"/>
        </w:rPr>
        <w:t xml:space="preserve"> for </w:t>
      </w:r>
      <w:r w:rsidR="00DE4E2A">
        <w:rPr>
          <w:rFonts w:ascii="Arial" w:hAnsi="Arial" w:cs="Arial"/>
          <w:szCs w:val="24"/>
        </w:rPr>
        <w:t>administrators</w:t>
      </w:r>
      <w:r w:rsidR="005B5E6E">
        <w:rPr>
          <w:rFonts w:ascii="Arial" w:hAnsi="Arial" w:cs="Arial"/>
          <w:szCs w:val="24"/>
        </w:rPr>
        <w:t xml:space="preserve"> of</w:t>
      </w:r>
      <w:r>
        <w:rPr>
          <w:rFonts w:ascii="Arial" w:hAnsi="Arial" w:cs="Arial"/>
          <w:szCs w:val="24"/>
        </w:rPr>
        <w:t xml:space="preserve"> </w:t>
      </w:r>
      <w:r w:rsidR="00ED5801">
        <w:rPr>
          <w:rFonts w:ascii="Arial" w:hAnsi="Arial" w:cs="Arial"/>
          <w:szCs w:val="24"/>
        </w:rPr>
        <w:t xml:space="preserve">financial </w:t>
      </w:r>
      <w:r>
        <w:rPr>
          <w:rFonts w:ascii="Arial" w:hAnsi="Arial" w:cs="Arial"/>
          <w:szCs w:val="24"/>
        </w:rPr>
        <w:t>benchmark</w:t>
      </w:r>
      <w:r w:rsidRPr="000252A6">
        <w:rPr>
          <w:rFonts w:ascii="Arial" w:hAnsi="Arial" w:cs="Arial"/>
          <w:szCs w:val="24"/>
        </w:rPr>
        <w:t>,</w:t>
      </w:r>
      <w:r>
        <w:rPr>
          <w:rFonts w:ascii="Arial" w:hAnsi="Arial" w:cs="Arial"/>
          <w:szCs w:val="24"/>
        </w:rPr>
        <w:t xml:space="preserve"> </w:t>
      </w:r>
      <w:r w:rsidRPr="000252A6">
        <w:rPr>
          <w:rFonts w:ascii="Arial" w:hAnsi="Arial" w:cs="Arial"/>
          <w:szCs w:val="24"/>
        </w:rPr>
        <w:t xml:space="preserve">it is likely that </w:t>
      </w:r>
      <w:r w:rsidR="00C57A54">
        <w:rPr>
          <w:rFonts w:ascii="Arial" w:hAnsi="Arial" w:cs="Arial"/>
          <w:szCs w:val="24"/>
        </w:rPr>
        <w:t xml:space="preserve">regime </w:t>
      </w:r>
      <w:r>
        <w:rPr>
          <w:rFonts w:ascii="Arial" w:hAnsi="Arial" w:cs="Arial"/>
          <w:szCs w:val="24"/>
        </w:rPr>
        <w:t xml:space="preserve">would provide the basis for an EU </w:t>
      </w:r>
      <w:r w:rsidRPr="000252A6">
        <w:rPr>
          <w:rFonts w:ascii="Arial" w:hAnsi="Arial" w:cs="Arial"/>
          <w:szCs w:val="24"/>
        </w:rPr>
        <w:t xml:space="preserve">equivalence </w:t>
      </w:r>
      <w:r>
        <w:rPr>
          <w:rFonts w:ascii="Arial" w:hAnsi="Arial" w:cs="Arial"/>
          <w:szCs w:val="24"/>
        </w:rPr>
        <w:t>decision</w:t>
      </w:r>
      <w:r w:rsidR="008853DC">
        <w:rPr>
          <w:rFonts w:ascii="Arial" w:hAnsi="Arial" w:cs="Arial"/>
          <w:szCs w:val="24"/>
        </w:rPr>
        <w:t xml:space="preserve"> as well as provide additional assurance around the integrity of our benchmark administration</w:t>
      </w:r>
      <w:r w:rsidR="00963131">
        <w:rPr>
          <w:rFonts w:ascii="Arial" w:hAnsi="Arial" w:cs="Arial"/>
          <w:szCs w:val="24"/>
        </w:rPr>
        <w:t>;</w:t>
      </w:r>
    </w:p>
    <w:p w:rsidR="0020614A" w:rsidRPr="00963131" w:rsidRDefault="0070033B" w:rsidP="00963131">
      <w:pPr>
        <w:pStyle w:val="CabStandard"/>
        <w:numPr>
          <w:ilvl w:val="0"/>
          <w:numId w:val="2"/>
        </w:numPr>
        <w:tabs>
          <w:tab w:val="num" w:pos="284"/>
        </w:tabs>
        <w:rPr>
          <w:rFonts w:ascii="Arial" w:hAnsi="Arial" w:cs="Arial"/>
          <w:szCs w:val="24"/>
        </w:rPr>
      </w:pPr>
      <w:bookmarkStart w:id="5" w:name="_Ref519512651"/>
      <w:r w:rsidRPr="00963131">
        <w:rPr>
          <w:rFonts w:ascii="Arial" w:hAnsi="Arial" w:cs="Arial"/>
          <w:b/>
          <w:szCs w:val="24"/>
        </w:rPr>
        <w:t>agree</w:t>
      </w:r>
      <w:r w:rsidRPr="00963131">
        <w:rPr>
          <w:rFonts w:ascii="Arial" w:hAnsi="Arial" w:cs="Arial"/>
          <w:szCs w:val="24"/>
        </w:rPr>
        <w:t xml:space="preserve"> t</w:t>
      </w:r>
      <w:r w:rsidR="002616F3" w:rsidRPr="00963131">
        <w:rPr>
          <w:rFonts w:ascii="Arial" w:hAnsi="Arial" w:cs="Arial"/>
          <w:szCs w:val="24"/>
        </w:rPr>
        <w:t xml:space="preserve">o the establishment of </w:t>
      </w:r>
      <w:r w:rsidR="002B19CD" w:rsidRPr="00963131">
        <w:rPr>
          <w:rFonts w:ascii="Arial" w:hAnsi="Arial" w:cs="Arial"/>
          <w:szCs w:val="24"/>
        </w:rPr>
        <w:t xml:space="preserve">a </w:t>
      </w:r>
      <w:r w:rsidR="00963131" w:rsidRPr="00963131">
        <w:rPr>
          <w:rFonts w:ascii="Arial" w:hAnsi="Arial" w:cs="Arial"/>
          <w:szCs w:val="24"/>
        </w:rPr>
        <w:t xml:space="preserve">licensing </w:t>
      </w:r>
      <w:r w:rsidR="002B19CD" w:rsidRPr="00963131">
        <w:rPr>
          <w:rFonts w:ascii="Arial" w:hAnsi="Arial" w:cs="Arial"/>
          <w:szCs w:val="24"/>
        </w:rPr>
        <w:t>regime for administrators of financial benchmarks under</w:t>
      </w:r>
      <w:r w:rsidR="002616F3" w:rsidRPr="00963131">
        <w:rPr>
          <w:rFonts w:ascii="Arial" w:hAnsi="Arial" w:cs="Arial"/>
          <w:szCs w:val="24"/>
        </w:rPr>
        <w:t xml:space="preserve"> the Financial Markets Conduct Act 2013</w:t>
      </w:r>
      <w:r w:rsidR="00B604C8" w:rsidRPr="00963131">
        <w:rPr>
          <w:rFonts w:ascii="Arial" w:hAnsi="Arial" w:cs="Arial"/>
          <w:szCs w:val="24"/>
        </w:rPr>
        <w:t>;</w:t>
      </w:r>
      <w:bookmarkEnd w:id="5"/>
    </w:p>
    <w:p w:rsidR="00B6786D" w:rsidRPr="00B6786D" w:rsidRDefault="00B6786D" w:rsidP="00B6786D">
      <w:pPr>
        <w:pStyle w:val="CabStandard"/>
        <w:rPr>
          <w:rFonts w:ascii="Arial" w:hAnsi="Arial" w:cs="Arial"/>
        </w:rPr>
      </w:pPr>
      <w:r w:rsidRPr="00B5113D">
        <w:rPr>
          <w:rFonts w:ascii="Arial" w:hAnsi="Arial" w:cs="Arial"/>
          <w:b/>
        </w:rPr>
        <w:lastRenderedPageBreak/>
        <w:t>invite</w:t>
      </w:r>
      <w:r w:rsidRPr="00B6786D">
        <w:rPr>
          <w:rFonts w:ascii="Arial" w:hAnsi="Arial" w:cs="Arial"/>
        </w:rPr>
        <w:t xml:space="preserve"> the Minister of Commerce and Cons</w:t>
      </w:r>
      <w:r w:rsidR="00AA6865">
        <w:rPr>
          <w:rFonts w:ascii="Arial" w:hAnsi="Arial" w:cs="Arial"/>
        </w:rPr>
        <w:t>umer Affairs to issue drafting i</w:t>
      </w:r>
      <w:r w:rsidRPr="00B6786D">
        <w:rPr>
          <w:rFonts w:ascii="Arial" w:hAnsi="Arial" w:cs="Arial"/>
        </w:rPr>
        <w:t xml:space="preserve">nstructions to the Parliamentary Counsel Office to give effect to </w:t>
      </w:r>
      <w:r w:rsidR="00181FDB">
        <w:rPr>
          <w:rFonts w:ascii="Arial" w:hAnsi="Arial" w:cs="Arial"/>
        </w:rPr>
        <w:t xml:space="preserve">the above </w:t>
      </w:r>
      <w:r w:rsidRPr="00B6786D">
        <w:rPr>
          <w:rFonts w:ascii="Arial" w:hAnsi="Arial" w:cs="Arial"/>
        </w:rPr>
        <w:t>recommendation</w:t>
      </w:r>
      <w:r w:rsidR="00181FDB">
        <w:rPr>
          <w:rFonts w:ascii="Arial" w:hAnsi="Arial" w:cs="Arial"/>
        </w:rPr>
        <w:t>s</w:t>
      </w:r>
      <w:r w:rsidRPr="00B6786D">
        <w:rPr>
          <w:rFonts w:ascii="Arial" w:hAnsi="Arial" w:cs="Arial"/>
        </w:rPr>
        <w:t>;</w:t>
      </w:r>
    </w:p>
    <w:p w:rsidR="00D32967" w:rsidRPr="00426BAA" w:rsidRDefault="00B6786D" w:rsidP="00426BAA">
      <w:pPr>
        <w:pStyle w:val="CabStandard"/>
        <w:rPr>
          <w:rFonts w:ascii="Arial" w:hAnsi="Arial" w:cs="Arial"/>
        </w:rPr>
      </w:pPr>
      <w:proofErr w:type="gramStart"/>
      <w:r w:rsidRPr="00B5113D">
        <w:rPr>
          <w:rFonts w:ascii="Arial" w:hAnsi="Arial" w:cs="Arial"/>
          <w:b/>
        </w:rPr>
        <w:t>authorise</w:t>
      </w:r>
      <w:proofErr w:type="gramEnd"/>
      <w:r w:rsidRPr="00B6786D">
        <w:rPr>
          <w:rFonts w:ascii="Arial" w:hAnsi="Arial" w:cs="Arial"/>
        </w:rPr>
        <w:t xml:space="preserve"> the Minister of Commerce and Consumer Affairs </w:t>
      </w:r>
      <w:r w:rsidR="00DE5E2D" w:rsidRPr="001D716E">
        <w:rPr>
          <w:rFonts w:ascii="Arial" w:hAnsi="Arial" w:cs="Arial"/>
          <w:sz w:val="23"/>
          <w:szCs w:val="23"/>
        </w:rPr>
        <w:t xml:space="preserve">to make </w:t>
      </w:r>
      <w:r w:rsidR="00DE5E2D">
        <w:rPr>
          <w:rFonts w:ascii="Arial" w:hAnsi="Arial" w:cs="Arial"/>
          <w:sz w:val="23"/>
          <w:szCs w:val="23"/>
        </w:rPr>
        <w:t xml:space="preserve">decisions, </w:t>
      </w:r>
      <w:r w:rsidR="00DE5E2D" w:rsidRPr="001D716E">
        <w:rPr>
          <w:rFonts w:ascii="Arial" w:hAnsi="Arial" w:cs="Arial"/>
          <w:sz w:val="23"/>
          <w:szCs w:val="23"/>
        </w:rPr>
        <w:t>consistent with the above recommendations</w:t>
      </w:r>
      <w:r w:rsidR="00DE5E2D">
        <w:rPr>
          <w:rFonts w:ascii="Arial" w:hAnsi="Arial" w:cs="Arial"/>
          <w:sz w:val="23"/>
          <w:szCs w:val="23"/>
        </w:rPr>
        <w:t>, on any minor or technical matters</w:t>
      </w:r>
      <w:r w:rsidR="00DE5E2D" w:rsidRPr="001D716E">
        <w:rPr>
          <w:rFonts w:ascii="Arial" w:hAnsi="Arial" w:cs="Arial"/>
          <w:sz w:val="23"/>
          <w:szCs w:val="23"/>
        </w:rPr>
        <w:t xml:space="preserve"> that may arise during the drafting process</w:t>
      </w:r>
      <w:r w:rsidRPr="00B6786D">
        <w:rPr>
          <w:rFonts w:ascii="Arial" w:hAnsi="Arial" w:cs="Arial"/>
        </w:rPr>
        <w:t>.</w:t>
      </w:r>
    </w:p>
    <w:p w:rsidR="00032562" w:rsidRDefault="00032562" w:rsidP="00CF664B">
      <w:pPr>
        <w:rPr>
          <w:rFonts w:ascii="Arial" w:hAnsi="Arial" w:cs="Arial"/>
          <w:sz w:val="24"/>
          <w:szCs w:val="24"/>
        </w:rPr>
      </w:pPr>
    </w:p>
    <w:p w:rsidR="004C20F5" w:rsidRDefault="004F5750" w:rsidP="00CF664B">
      <w:pPr>
        <w:rPr>
          <w:rFonts w:ascii="Arial" w:hAnsi="Arial" w:cs="Arial"/>
          <w:sz w:val="24"/>
          <w:szCs w:val="24"/>
        </w:rPr>
      </w:pPr>
      <w:r w:rsidRPr="00F642C6">
        <w:rPr>
          <w:rFonts w:ascii="Arial" w:hAnsi="Arial" w:cs="Arial"/>
          <w:sz w:val="24"/>
          <w:szCs w:val="24"/>
        </w:rPr>
        <w:t>Authorised for lodgement</w:t>
      </w:r>
    </w:p>
    <w:p w:rsidR="00C57A54" w:rsidRDefault="00C57A54" w:rsidP="00CF664B">
      <w:pPr>
        <w:rPr>
          <w:rFonts w:ascii="Arial" w:hAnsi="Arial" w:cs="Arial"/>
          <w:sz w:val="24"/>
          <w:szCs w:val="24"/>
        </w:rPr>
      </w:pPr>
    </w:p>
    <w:p w:rsidR="00582D4B" w:rsidRDefault="00582D4B" w:rsidP="00CF664B">
      <w:pPr>
        <w:rPr>
          <w:rFonts w:ascii="Arial" w:hAnsi="Arial" w:cs="Arial"/>
          <w:sz w:val="24"/>
          <w:szCs w:val="24"/>
        </w:rPr>
      </w:pPr>
    </w:p>
    <w:p w:rsidR="00582D4B" w:rsidRPr="00F642C6" w:rsidRDefault="00582D4B" w:rsidP="00CF664B">
      <w:pPr>
        <w:rPr>
          <w:rFonts w:ascii="Arial" w:hAnsi="Arial" w:cs="Arial"/>
          <w:sz w:val="24"/>
          <w:szCs w:val="24"/>
        </w:rPr>
      </w:pPr>
    </w:p>
    <w:p w:rsidR="00AB095C" w:rsidRPr="00F642C6" w:rsidRDefault="00AB095C" w:rsidP="00D73C55">
      <w:pPr>
        <w:pStyle w:val="CabStandard"/>
        <w:numPr>
          <w:ilvl w:val="0"/>
          <w:numId w:val="0"/>
        </w:numPr>
        <w:spacing w:after="0"/>
        <w:rPr>
          <w:rFonts w:ascii="Arial" w:hAnsi="Arial" w:cs="Arial"/>
          <w:szCs w:val="24"/>
        </w:rPr>
      </w:pPr>
      <w:r w:rsidRPr="00F642C6">
        <w:rPr>
          <w:rFonts w:ascii="Arial" w:hAnsi="Arial" w:cs="Arial"/>
          <w:szCs w:val="24"/>
        </w:rPr>
        <w:t xml:space="preserve">Hon </w:t>
      </w:r>
      <w:r w:rsidR="006E1D0C">
        <w:rPr>
          <w:rFonts w:ascii="Arial" w:hAnsi="Arial" w:cs="Arial"/>
          <w:szCs w:val="24"/>
        </w:rPr>
        <w:t xml:space="preserve">Kris </w:t>
      </w:r>
      <w:proofErr w:type="spellStart"/>
      <w:r w:rsidR="006E1D0C">
        <w:rPr>
          <w:rFonts w:ascii="Arial" w:hAnsi="Arial" w:cs="Arial"/>
          <w:szCs w:val="24"/>
        </w:rPr>
        <w:t>Faafoi</w:t>
      </w:r>
      <w:proofErr w:type="spellEnd"/>
    </w:p>
    <w:p w:rsidR="00141E1C" w:rsidRPr="00F642C6" w:rsidRDefault="0070033B" w:rsidP="00D73C55">
      <w:pPr>
        <w:pStyle w:val="CabStandard"/>
        <w:numPr>
          <w:ilvl w:val="0"/>
          <w:numId w:val="0"/>
        </w:numPr>
        <w:spacing w:after="0"/>
        <w:rPr>
          <w:rFonts w:ascii="Arial" w:hAnsi="Arial" w:cs="Arial"/>
          <w:szCs w:val="24"/>
        </w:rPr>
      </w:pPr>
      <w:r w:rsidRPr="00F642C6">
        <w:rPr>
          <w:rFonts w:ascii="Arial" w:hAnsi="Arial" w:cs="Arial"/>
          <w:szCs w:val="24"/>
        </w:rPr>
        <w:t xml:space="preserve">Minister </w:t>
      </w:r>
      <w:r w:rsidR="006E1D0C">
        <w:rPr>
          <w:rFonts w:ascii="Arial" w:hAnsi="Arial" w:cs="Arial"/>
          <w:szCs w:val="24"/>
        </w:rPr>
        <w:t>of Commerce and Consumer Affairs</w:t>
      </w:r>
      <w:r w:rsidR="00141E1C" w:rsidRPr="00F642C6">
        <w:rPr>
          <w:rFonts w:ascii="Arial" w:hAnsi="Arial" w:cs="Arial"/>
          <w:szCs w:val="24"/>
        </w:rPr>
        <w:br w:type="page"/>
      </w:r>
    </w:p>
    <w:p w:rsidR="00141E1C" w:rsidRPr="00F642C6" w:rsidRDefault="00141E1C" w:rsidP="00AB095C">
      <w:pPr>
        <w:pStyle w:val="CabStandard"/>
        <w:numPr>
          <w:ilvl w:val="0"/>
          <w:numId w:val="0"/>
        </w:numPr>
        <w:pBdr>
          <w:bottom w:val="single" w:sz="12" w:space="1" w:color="auto"/>
        </w:pBdr>
        <w:jc w:val="both"/>
        <w:rPr>
          <w:rFonts w:ascii="Arial" w:hAnsi="Arial" w:cs="Arial"/>
          <w:b/>
          <w:szCs w:val="24"/>
        </w:rPr>
      </w:pPr>
      <w:r w:rsidRPr="00F642C6">
        <w:rPr>
          <w:rFonts w:ascii="Arial" w:hAnsi="Arial" w:cs="Arial"/>
          <w:b/>
          <w:szCs w:val="24"/>
        </w:rPr>
        <w:lastRenderedPageBreak/>
        <w:t>Appendix One:</w:t>
      </w:r>
      <w:r w:rsidR="009172D0">
        <w:rPr>
          <w:rFonts w:ascii="Arial" w:hAnsi="Arial" w:cs="Arial"/>
          <w:b/>
          <w:szCs w:val="24"/>
        </w:rPr>
        <w:t xml:space="preserve"> </w:t>
      </w:r>
      <w:bookmarkStart w:id="6" w:name="_Hlk511372235"/>
      <w:r w:rsidR="00BF37EC">
        <w:rPr>
          <w:rFonts w:ascii="Arial" w:hAnsi="Arial" w:cs="Arial"/>
          <w:b/>
          <w:szCs w:val="24"/>
        </w:rPr>
        <w:t>F</w:t>
      </w:r>
      <w:r w:rsidR="006742C2">
        <w:rPr>
          <w:rFonts w:ascii="Arial" w:hAnsi="Arial" w:cs="Arial"/>
          <w:b/>
          <w:szCs w:val="24"/>
        </w:rPr>
        <w:t>inancial</w:t>
      </w:r>
      <w:r w:rsidR="001C4CA9">
        <w:rPr>
          <w:rFonts w:ascii="Arial" w:hAnsi="Arial" w:cs="Arial"/>
          <w:b/>
          <w:szCs w:val="24"/>
        </w:rPr>
        <w:t xml:space="preserve"> instruments and </w:t>
      </w:r>
      <w:bookmarkEnd w:id="6"/>
      <w:r w:rsidR="00BF37EC">
        <w:rPr>
          <w:rFonts w:ascii="Arial" w:hAnsi="Arial" w:cs="Arial"/>
          <w:b/>
          <w:szCs w:val="24"/>
        </w:rPr>
        <w:t>Benchmark Rate</w:t>
      </w:r>
      <w:r w:rsidR="009C7459">
        <w:rPr>
          <w:rFonts w:ascii="Arial" w:hAnsi="Arial" w:cs="Arial"/>
          <w:b/>
          <w:szCs w:val="24"/>
        </w:rPr>
        <w:t>s</w:t>
      </w:r>
    </w:p>
    <w:p w:rsidR="003710BD" w:rsidRPr="008D4FF7" w:rsidRDefault="003710BD" w:rsidP="00097AFB">
      <w:pPr>
        <w:rPr>
          <w:rFonts w:ascii="Arial" w:hAnsi="Arial" w:cs="Arial"/>
          <w:b/>
          <w:sz w:val="24"/>
          <w:szCs w:val="24"/>
        </w:rPr>
      </w:pPr>
      <w:r w:rsidRPr="008D4FF7">
        <w:rPr>
          <w:rFonts w:ascii="Arial" w:hAnsi="Arial" w:cs="Arial"/>
          <w:b/>
          <w:sz w:val="24"/>
          <w:szCs w:val="24"/>
        </w:rPr>
        <w:t>Financial derivatives</w:t>
      </w:r>
    </w:p>
    <w:p w:rsidR="00AC71DA" w:rsidRDefault="00AC71DA" w:rsidP="00284187">
      <w:pPr>
        <w:spacing w:line="240" w:lineRule="auto"/>
        <w:rPr>
          <w:rFonts w:ascii="Arial" w:hAnsi="Arial" w:cs="Arial"/>
          <w:sz w:val="24"/>
          <w:szCs w:val="24"/>
        </w:rPr>
      </w:pPr>
      <w:r>
        <w:rPr>
          <w:rFonts w:ascii="Arial" w:hAnsi="Arial" w:cs="Arial"/>
          <w:sz w:val="24"/>
          <w:szCs w:val="24"/>
        </w:rPr>
        <w:t xml:space="preserve">A financial </w:t>
      </w:r>
      <w:r w:rsidR="00097AFB" w:rsidRPr="00097AFB">
        <w:rPr>
          <w:rFonts w:ascii="Arial" w:hAnsi="Arial" w:cs="Arial"/>
          <w:sz w:val="24"/>
          <w:szCs w:val="24"/>
        </w:rPr>
        <w:t>derivative</w:t>
      </w:r>
      <w:r>
        <w:rPr>
          <w:rFonts w:ascii="Arial" w:hAnsi="Arial" w:cs="Arial"/>
          <w:sz w:val="24"/>
          <w:szCs w:val="24"/>
        </w:rPr>
        <w:t xml:space="preserve"> </w:t>
      </w:r>
      <w:r w:rsidR="00097AFB" w:rsidRPr="00097AFB">
        <w:rPr>
          <w:rFonts w:ascii="Arial" w:hAnsi="Arial" w:cs="Arial"/>
          <w:sz w:val="24"/>
          <w:szCs w:val="24"/>
        </w:rPr>
        <w:t>is a contract that</w:t>
      </w:r>
      <w:r>
        <w:rPr>
          <w:rFonts w:ascii="Arial" w:hAnsi="Arial" w:cs="Arial"/>
          <w:sz w:val="24"/>
          <w:szCs w:val="24"/>
        </w:rPr>
        <w:t xml:space="preserve"> </w:t>
      </w:r>
      <w:r w:rsidR="00097AFB" w:rsidRPr="00097AFB">
        <w:rPr>
          <w:rFonts w:ascii="Arial" w:hAnsi="Arial" w:cs="Arial"/>
          <w:sz w:val="24"/>
          <w:szCs w:val="24"/>
        </w:rPr>
        <w:t>derives</w:t>
      </w:r>
      <w:r>
        <w:rPr>
          <w:rFonts w:ascii="Arial" w:hAnsi="Arial" w:cs="Arial"/>
          <w:sz w:val="24"/>
          <w:szCs w:val="24"/>
        </w:rPr>
        <w:t xml:space="preserve"> </w:t>
      </w:r>
      <w:r w:rsidR="00097AFB" w:rsidRPr="00097AFB">
        <w:rPr>
          <w:rFonts w:ascii="Arial" w:hAnsi="Arial" w:cs="Arial"/>
          <w:sz w:val="24"/>
          <w:szCs w:val="24"/>
        </w:rPr>
        <w:t xml:space="preserve">its value from the performance of an underlying </w:t>
      </w:r>
      <w:hyperlink r:id="rId8" w:tooltip="Asset" w:history="1">
        <w:r w:rsidR="00097AFB" w:rsidRPr="00097AFB">
          <w:rPr>
            <w:rFonts w:ascii="Arial" w:hAnsi="Arial" w:cs="Arial"/>
            <w:sz w:val="24"/>
            <w:szCs w:val="24"/>
          </w:rPr>
          <w:t>asset</w:t>
        </w:r>
      </w:hyperlink>
      <w:r w:rsidR="00097AFB" w:rsidRPr="00097AFB">
        <w:rPr>
          <w:rFonts w:ascii="Arial" w:hAnsi="Arial" w:cs="Arial"/>
          <w:sz w:val="24"/>
          <w:szCs w:val="24"/>
        </w:rPr>
        <w:t>,</w:t>
      </w:r>
      <w:r>
        <w:rPr>
          <w:rFonts w:ascii="Arial" w:hAnsi="Arial" w:cs="Arial"/>
          <w:sz w:val="24"/>
          <w:szCs w:val="24"/>
        </w:rPr>
        <w:t xml:space="preserve"> </w:t>
      </w:r>
      <w:hyperlink r:id="rId9" w:tooltip="Index fund" w:history="1">
        <w:r w:rsidR="00097AFB" w:rsidRPr="00097AFB">
          <w:rPr>
            <w:rFonts w:ascii="Arial" w:hAnsi="Arial" w:cs="Arial"/>
            <w:sz w:val="24"/>
            <w:szCs w:val="24"/>
          </w:rPr>
          <w:t>index</w:t>
        </w:r>
      </w:hyperlink>
      <w:r w:rsidR="00097AFB" w:rsidRPr="00097AFB">
        <w:rPr>
          <w:rFonts w:ascii="Arial" w:hAnsi="Arial" w:cs="Arial"/>
          <w:sz w:val="24"/>
          <w:szCs w:val="24"/>
        </w:rPr>
        <w:t>, or</w:t>
      </w:r>
      <w:r>
        <w:rPr>
          <w:rFonts w:ascii="Arial" w:hAnsi="Arial" w:cs="Arial"/>
          <w:sz w:val="24"/>
          <w:szCs w:val="24"/>
        </w:rPr>
        <w:t xml:space="preserve"> </w:t>
      </w:r>
      <w:hyperlink r:id="rId10" w:tooltip="Interest rate" w:history="1">
        <w:r w:rsidR="00097AFB" w:rsidRPr="00097AFB">
          <w:rPr>
            <w:rFonts w:ascii="Arial" w:hAnsi="Arial" w:cs="Arial"/>
            <w:sz w:val="24"/>
            <w:szCs w:val="24"/>
          </w:rPr>
          <w:t>interest rate</w:t>
        </w:r>
      </w:hyperlink>
      <w:r>
        <w:rPr>
          <w:rFonts w:ascii="Arial" w:hAnsi="Arial" w:cs="Arial"/>
          <w:sz w:val="24"/>
          <w:szCs w:val="24"/>
        </w:rPr>
        <w:t>.  D</w:t>
      </w:r>
      <w:r w:rsidR="00097AFB" w:rsidRPr="00097AFB">
        <w:rPr>
          <w:rFonts w:ascii="Arial" w:hAnsi="Arial" w:cs="Arial"/>
          <w:sz w:val="24"/>
          <w:szCs w:val="24"/>
        </w:rPr>
        <w:t>erivatives can be used for insuring against price movements (hedging), increasing exposure to price movements for speculation</w:t>
      </w:r>
      <w:r>
        <w:rPr>
          <w:rFonts w:ascii="Arial" w:hAnsi="Arial" w:cs="Arial"/>
          <w:sz w:val="24"/>
          <w:szCs w:val="24"/>
        </w:rPr>
        <w:t xml:space="preserve">, </w:t>
      </w:r>
      <w:r w:rsidR="00097AFB" w:rsidRPr="00097AFB">
        <w:rPr>
          <w:rFonts w:ascii="Arial" w:hAnsi="Arial" w:cs="Arial"/>
          <w:sz w:val="24"/>
          <w:szCs w:val="24"/>
        </w:rPr>
        <w:t>or getting access to otherwise hard-to-trade assets or markets.</w:t>
      </w:r>
      <w:r>
        <w:rPr>
          <w:rFonts w:ascii="Arial" w:hAnsi="Arial" w:cs="Arial"/>
          <w:sz w:val="24"/>
          <w:szCs w:val="24"/>
        </w:rPr>
        <w:t xml:space="preserve">  </w:t>
      </w:r>
    </w:p>
    <w:p w:rsidR="008F6FFB" w:rsidRDefault="00AC71DA" w:rsidP="00284187">
      <w:pPr>
        <w:spacing w:line="240" w:lineRule="auto"/>
        <w:rPr>
          <w:rFonts w:ascii="Arial" w:hAnsi="Arial" w:cs="Arial"/>
          <w:sz w:val="24"/>
          <w:szCs w:val="24"/>
        </w:rPr>
      </w:pPr>
      <w:r>
        <w:rPr>
          <w:rFonts w:ascii="Arial" w:hAnsi="Arial" w:cs="Arial"/>
          <w:sz w:val="24"/>
          <w:szCs w:val="24"/>
        </w:rPr>
        <w:t>C</w:t>
      </w:r>
      <w:r w:rsidR="00097AFB" w:rsidRPr="00097AFB">
        <w:rPr>
          <w:rFonts w:ascii="Arial" w:hAnsi="Arial" w:cs="Arial"/>
          <w:sz w:val="24"/>
          <w:szCs w:val="24"/>
        </w:rPr>
        <w:t xml:space="preserve">ommon derivatives </w:t>
      </w:r>
      <w:r>
        <w:rPr>
          <w:rFonts w:ascii="Arial" w:hAnsi="Arial" w:cs="Arial"/>
          <w:sz w:val="24"/>
          <w:szCs w:val="24"/>
        </w:rPr>
        <w:t>i</w:t>
      </w:r>
      <w:r w:rsidR="00097AFB" w:rsidRPr="00097AFB">
        <w:rPr>
          <w:rFonts w:ascii="Arial" w:hAnsi="Arial" w:cs="Arial"/>
          <w:sz w:val="24"/>
          <w:szCs w:val="24"/>
        </w:rPr>
        <w:t>nclude</w:t>
      </w:r>
      <w:r>
        <w:rPr>
          <w:rFonts w:ascii="Arial" w:hAnsi="Arial" w:cs="Arial"/>
          <w:sz w:val="24"/>
          <w:szCs w:val="24"/>
        </w:rPr>
        <w:t xml:space="preserve"> </w:t>
      </w:r>
      <w:hyperlink r:id="rId11" w:tooltip="Forward contract" w:history="1">
        <w:r w:rsidR="00097AFB" w:rsidRPr="00097AFB">
          <w:rPr>
            <w:rFonts w:ascii="Arial" w:hAnsi="Arial" w:cs="Arial"/>
            <w:sz w:val="24"/>
            <w:szCs w:val="24"/>
          </w:rPr>
          <w:t>forwards</w:t>
        </w:r>
      </w:hyperlink>
      <w:r w:rsidR="00097AFB" w:rsidRPr="00097AFB">
        <w:rPr>
          <w:rFonts w:ascii="Arial" w:hAnsi="Arial" w:cs="Arial"/>
          <w:sz w:val="24"/>
          <w:szCs w:val="24"/>
        </w:rPr>
        <w:t>,</w:t>
      </w:r>
      <w:r>
        <w:rPr>
          <w:rFonts w:ascii="Arial" w:hAnsi="Arial" w:cs="Arial"/>
          <w:sz w:val="24"/>
          <w:szCs w:val="24"/>
        </w:rPr>
        <w:t xml:space="preserve"> </w:t>
      </w:r>
      <w:hyperlink r:id="rId12" w:tooltip="Futures contract" w:history="1">
        <w:r w:rsidR="00097AFB" w:rsidRPr="00097AFB">
          <w:rPr>
            <w:rFonts w:ascii="Arial" w:hAnsi="Arial" w:cs="Arial"/>
            <w:sz w:val="24"/>
            <w:szCs w:val="24"/>
          </w:rPr>
          <w:t>futures</w:t>
        </w:r>
      </w:hyperlink>
      <w:r w:rsidR="00097AFB" w:rsidRPr="00097AFB">
        <w:rPr>
          <w:rFonts w:ascii="Arial" w:hAnsi="Arial" w:cs="Arial"/>
          <w:sz w:val="24"/>
          <w:szCs w:val="24"/>
        </w:rPr>
        <w:t>,</w:t>
      </w:r>
      <w:r>
        <w:rPr>
          <w:rFonts w:ascii="Arial" w:hAnsi="Arial" w:cs="Arial"/>
          <w:sz w:val="24"/>
          <w:szCs w:val="24"/>
        </w:rPr>
        <w:t xml:space="preserve"> </w:t>
      </w:r>
      <w:hyperlink r:id="rId13" w:tooltip="Option (finance)" w:history="1">
        <w:r w:rsidR="00097AFB" w:rsidRPr="00097AFB">
          <w:rPr>
            <w:rFonts w:ascii="Arial" w:hAnsi="Arial" w:cs="Arial"/>
            <w:sz w:val="24"/>
            <w:szCs w:val="24"/>
          </w:rPr>
          <w:t>options</w:t>
        </w:r>
      </w:hyperlink>
      <w:r>
        <w:rPr>
          <w:rFonts w:ascii="Arial" w:hAnsi="Arial" w:cs="Arial"/>
          <w:sz w:val="24"/>
          <w:szCs w:val="24"/>
        </w:rPr>
        <w:t xml:space="preserve"> and </w:t>
      </w:r>
      <w:hyperlink r:id="rId14" w:tooltip="Swap (finance)" w:history="1">
        <w:r w:rsidR="00097AFB" w:rsidRPr="00097AFB">
          <w:rPr>
            <w:rFonts w:ascii="Arial" w:hAnsi="Arial" w:cs="Arial"/>
            <w:sz w:val="24"/>
            <w:szCs w:val="24"/>
          </w:rPr>
          <w:t>swaps</w:t>
        </w:r>
      </w:hyperlink>
      <w:r w:rsidR="00FB5C0C">
        <w:rPr>
          <w:rFonts w:ascii="Arial" w:hAnsi="Arial" w:cs="Arial"/>
          <w:sz w:val="24"/>
          <w:szCs w:val="24"/>
        </w:rPr>
        <w:t>.</w:t>
      </w:r>
      <w:r>
        <w:rPr>
          <w:rFonts w:ascii="Arial" w:hAnsi="Arial" w:cs="Arial"/>
          <w:sz w:val="24"/>
          <w:szCs w:val="24"/>
        </w:rPr>
        <w:t xml:space="preserve"> </w:t>
      </w:r>
      <w:r w:rsidR="00994AD1">
        <w:rPr>
          <w:rFonts w:ascii="Arial" w:hAnsi="Arial" w:cs="Arial"/>
          <w:sz w:val="24"/>
          <w:szCs w:val="24"/>
        </w:rPr>
        <w:t>Many</w:t>
      </w:r>
      <w:r w:rsidR="00097AFB" w:rsidRPr="00097AFB">
        <w:rPr>
          <w:rFonts w:ascii="Arial" w:hAnsi="Arial" w:cs="Arial"/>
          <w:sz w:val="24"/>
          <w:szCs w:val="24"/>
        </w:rPr>
        <w:t xml:space="preserve"> derivatives are traded</w:t>
      </w:r>
      <w:r>
        <w:rPr>
          <w:rFonts w:ascii="Arial" w:hAnsi="Arial" w:cs="Arial"/>
          <w:sz w:val="24"/>
          <w:szCs w:val="24"/>
        </w:rPr>
        <w:t xml:space="preserve"> </w:t>
      </w:r>
      <w:hyperlink r:id="rId15" w:tooltip="Over-the-counter (finance)" w:history="1">
        <w:r w:rsidR="00097AFB" w:rsidRPr="00097AFB">
          <w:rPr>
            <w:rFonts w:ascii="Arial" w:hAnsi="Arial" w:cs="Arial"/>
            <w:sz w:val="24"/>
            <w:szCs w:val="24"/>
          </w:rPr>
          <w:t>over-the-counter</w:t>
        </w:r>
      </w:hyperlink>
      <w:r>
        <w:rPr>
          <w:rFonts w:ascii="Arial" w:hAnsi="Arial" w:cs="Arial"/>
          <w:sz w:val="24"/>
          <w:szCs w:val="24"/>
        </w:rPr>
        <w:t xml:space="preserve"> </w:t>
      </w:r>
      <w:r w:rsidR="00994AD1">
        <w:rPr>
          <w:rFonts w:ascii="Arial" w:hAnsi="Arial" w:cs="Arial"/>
          <w:sz w:val="24"/>
          <w:szCs w:val="24"/>
        </w:rPr>
        <w:t xml:space="preserve">(OTC) </w:t>
      </w:r>
      <w:r w:rsidR="00097AFB" w:rsidRPr="00097AFB">
        <w:rPr>
          <w:rFonts w:ascii="Arial" w:hAnsi="Arial" w:cs="Arial"/>
          <w:sz w:val="24"/>
          <w:szCs w:val="24"/>
        </w:rPr>
        <w:t xml:space="preserve">(off-exchange) </w:t>
      </w:r>
      <w:r w:rsidR="000E0D53">
        <w:rPr>
          <w:rFonts w:ascii="Arial" w:hAnsi="Arial" w:cs="Arial"/>
          <w:sz w:val="24"/>
          <w:szCs w:val="24"/>
        </w:rPr>
        <w:t>rather than</w:t>
      </w:r>
      <w:r w:rsidR="00097AFB" w:rsidRPr="00097AFB">
        <w:rPr>
          <w:rFonts w:ascii="Arial" w:hAnsi="Arial" w:cs="Arial"/>
          <w:sz w:val="24"/>
          <w:szCs w:val="24"/>
        </w:rPr>
        <w:t xml:space="preserve"> on an exchange</w:t>
      </w:r>
      <w:r w:rsidR="00994AD1">
        <w:rPr>
          <w:rFonts w:ascii="Arial" w:hAnsi="Arial" w:cs="Arial"/>
          <w:sz w:val="24"/>
          <w:szCs w:val="24"/>
        </w:rPr>
        <w:t>.</w:t>
      </w:r>
    </w:p>
    <w:p w:rsidR="001C4CA9" w:rsidRPr="008D4FF7" w:rsidRDefault="001C4CA9" w:rsidP="00284187">
      <w:pPr>
        <w:spacing w:line="240" w:lineRule="auto"/>
        <w:rPr>
          <w:rFonts w:ascii="Arial" w:hAnsi="Arial" w:cs="Arial"/>
          <w:b/>
          <w:sz w:val="24"/>
          <w:szCs w:val="24"/>
        </w:rPr>
      </w:pPr>
      <w:r w:rsidRPr="008D4FF7">
        <w:rPr>
          <w:rFonts w:ascii="Arial" w:hAnsi="Arial" w:cs="Arial"/>
          <w:b/>
          <w:sz w:val="24"/>
          <w:szCs w:val="24"/>
        </w:rPr>
        <w:t>Bank Bills</w:t>
      </w:r>
    </w:p>
    <w:p w:rsidR="003710BD" w:rsidRDefault="003710BD" w:rsidP="00284187">
      <w:pPr>
        <w:spacing w:line="240" w:lineRule="auto"/>
        <w:rPr>
          <w:rFonts w:ascii="Arial" w:hAnsi="Arial" w:cs="Arial"/>
          <w:sz w:val="24"/>
          <w:szCs w:val="24"/>
        </w:rPr>
      </w:pPr>
      <w:r w:rsidRPr="003710BD">
        <w:rPr>
          <w:rFonts w:ascii="Arial" w:hAnsi="Arial" w:cs="Arial"/>
          <w:sz w:val="24"/>
          <w:szCs w:val="24"/>
        </w:rPr>
        <w:t xml:space="preserve">A Bank Bill is </w:t>
      </w:r>
      <w:r w:rsidR="001C4CA9">
        <w:rPr>
          <w:rFonts w:ascii="Arial" w:hAnsi="Arial" w:cs="Arial"/>
          <w:sz w:val="24"/>
          <w:szCs w:val="24"/>
        </w:rPr>
        <w:t xml:space="preserve">a </w:t>
      </w:r>
      <w:r w:rsidRPr="003710BD">
        <w:rPr>
          <w:rFonts w:ascii="Arial" w:hAnsi="Arial" w:cs="Arial"/>
          <w:sz w:val="24"/>
          <w:szCs w:val="24"/>
        </w:rPr>
        <w:t>short-term transferable instrument under which a bank is liable to pay the holder a specified amount on a specified maturity date. The instrument can be on-</w:t>
      </w:r>
      <w:r w:rsidR="008B0C4A" w:rsidRPr="003710BD">
        <w:rPr>
          <w:rFonts w:ascii="Arial" w:hAnsi="Arial" w:cs="Arial"/>
          <w:sz w:val="24"/>
          <w:szCs w:val="24"/>
        </w:rPr>
        <w:t>sold,</w:t>
      </w:r>
      <w:r w:rsidRPr="003710BD">
        <w:rPr>
          <w:rFonts w:ascii="Arial" w:hAnsi="Arial" w:cs="Arial"/>
          <w:sz w:val="24"/>
          <w:szCs w:val="24"/>
        </w:rPr>
        <w:t xml:space="preserve"> and the maturity date is generally between 30 to 180 days after issue.</w:t>
      </w:r>
    </w:p>
    <w:p w:rsidR="00F61C89" w:rsidRDefault="00F61C89" w:rsidP="00284187">
      <w:pPr>
        <w:spacing w:line="240" w:lineRule="auto"/>
        <w:rPr>
          <w:rFonts w:ascii="Arial" w:hAnsi="Arial" w:cs="Arial"/>
          <w:sz w:val="24"/>
          <w:szCs w:val="24"/>
        </w:rPr>
      </w:pPr>
      <w:r w:rsidRPr="00351E28">
        <w:rPr>
          <w:rFonts w:ascii="Arial" w:hAnsi="Arial" w:cs="Arial"/>
          <w:sz w:val="24"/>
          <w:szCs w:val="24"/>
        </w:rPr>
        <w:t xml:space="preserve">Banks may buy and sell Bank Bills for cash management and funding purposes. </w:t>
      </w:r>
      <w:r>
        <w:rPr>
          <w:rFonts w:ascii="Arial" w:hAnsi="Arial" w:cs="Arial"/>
          <w:sz w:val="24"/>
          <w:szCs w:val="24"/>
        </w:rPr>
        <w:t xml:space="preserve"> </w:t>
      </w:r>
      <w:r w:rsidRPr="00351E28">
        <w:rPr>
          <w:rFonts w:ascii="Arial" w:hAnsi="Arial" w:cs="Arial"/>
          <w:sz w:val="24"/>
          <w:szCs w:val="24"/>
        </w:rPr>
        <w:t>A bank that sells Bank Bills is effectively borrowing money, which can be used to fund other parts of its business, such as loans to customers. A bank that purchases Bank Bills</w:t>
      </w:r>
      <w:r w:rsidR="00E640A0">
        <w:rPr>
          <w:rFonts w:ascii="Arial" w:hAnsi="Arial" w:cs="Arial"/>
          <w:sz w:val="24"/>
          <w:szCs w:val="24"/>
        </w:rPr>
        <w:t xml:space="preserve"> is lending or investing money.</w:t>
      </w:r>
      <w:r>
        <w:rPr>
          <w:rFonts w:ascii="Arial" w:hAnsi="Arial" w:cs="Arial"/>
          <w:sz w:val="24"/>
          <w:szCs w:val="24"/>
        </w:rPr>
        <w:t xml:space="preserve"> </w:t>
      </w:r>
      <w:r w:rsidRPr="00351E28">
        <w:rPr>
          <w:rFonts w:ascii="Arial" w:hAnsi="Arial" w:cs="Arial"/>
          <w:sz w:val="24"/>
          <w:szCs w:val="24"/>
        </w:rPr>
        <w:t xml:space="preserve"> </w:t>
      </w:r>
    </w:p>
    <w:p w:rsidR="00F61C89" w:rsidRDefault="00F61C89" w:rsidP="00284187">
      <w:pPr>
        <w:spacing w:line="240" w:lineRule="auto"/>
        <w:rPr>
          <w:rFonts w:ascii="Arial" w:hAnsi="Arial" w:cs="Arial"/>
          <w:sz w:val="24"/>
          <w:szCs w:val="24"/>
        </w:rPr>
      </w:pPr>
      <w:r w:rsidRPr="00351E28">
        <w:rPr>
          <w:rFonts w:ascii="Arial" w:hAnsi="Arial" w:cs="Arial"/>
          <w:sz w:val="24"/>
          <w:szCs w:val="24"/>
        </w:rPr>
        <w:t>By buying Bank Bills</w:t>
      </w:r>
      <w:r>
        <w:rPr>
          <w:rFonts w:ascii="Arial" w:hAnsi="Arial" w:cs="Arial"/>
          <w:sz w:val="24"/>
          <w:szCs w:val="24"/>
        </w:rPr>
        <w:t xml:space="preserve">, </w:t>
      </w:r>
      <w:r w:rsidR="005E2260">
        <w:rPr>
          <w:rFonts w:ascii="Arial" w:hAnsi="Arial" w:cs="Arial"/>
          <w:sz w:val="24"/>
          <w:szCs w:val="24"/>
        </w:rPr>
        <w:t>banks</w:t>
      </w:r>
      <w:r>
        <w:rPr>
          <w:rFonts w:ascii="Arial" w:hAnsi="Arial" w:cs="Arial"/>
          <w:sz w:val="24"/>
          <w:szCs w:val="24"/>
        </w:rPr>
        <w:t xml:space="preserve"> </w:t>
      </w:r>
      <w:r w:rsidRPr="00351E28">
        <w:rPr>
          <w:rFonts w:ascii="Arial" w:hAnsi="Arial" w:cs="Arial"/>
          <w:sz w:val="24"/>
          <w:szCs w:val="24"/>
        </w:rPr>
        <w:t xml:space="preserve">invest in a relatively safe and liquid investment that will earn a base level of interest. </w:t>
      </w:r>
      <w:r w:rsidR="000E7924">
        <w:rPr>
          <w:rFonts w:ascii="Arial" w:hAnsi="Arial" w:cs="Arial"/>
          <w:sz w:val="24"/>
          <w:szCs w:val="24"/>
        </w:rPr>
        <w:t>New Zealand</w:t>
      </w:r>
      <w:r w:rsidRPr="00351E28">
        <w:rPr>
          <w:rFonts w:ascii="Arial" w:hAnsi="Arial" w:cs="Arial"/>
          <w:sz w:val="24"/>
          <w:szCs w:val="24"/>
        </w:rPr>
        <w:t xml:space="preserve"> banks’ funding mainly comes from retail deposits (often around 60</w:t>
      </w:r>
      <w:r w:rsidR="006F5947">
        <w:rPr>
          <w:rFonts w:ascii="Arial" w:hAnsi="Arial" w:cs="Arial"/>
          <w:sz w:val="24"/>
          <w:szCs w:val="24"/>
        </w:rPr>
        <w:t xml:space="preserve"> per cent</w:t>
      </w:r>
      <w:r w:rsidRPr="00351E28">
        <w:rPr>
          <w:rFonts w:ascii="Arial" w:hAnsi="Arial" w:cs="Arial"/>
          <w:sz w:val="24"/>
          <w:szCs w:val="24"/>
        </w:rPr>
        <w:t xml:space="preserve"> to 70</w:t>
      </w:r>
      <w:r w:rsidR="006F5947" w:rsidRPr="006F5947">
        <w:rPr>
          <w:rFonts w:ascii="Arial" w:hAnsi="Arial" w:cs="Arial"/>
          <w:sz w:val="24"/>
          <w:szCs w:val="24"/>
        </w:rPr>
        <w:t xml:space="preserve"> </w:t>
      </w:r>
      <w:r w:rsidR="006F5947">
        <w:rPr>
          <w:rFonts w:ascii="Arial" w:hAnsi="Arial" w:cs="Arial"/>
          <w:sz w:val="24"/>
          <w:szCs w:val="24"/>
        </w:rPr>
        <w:t>per cent</w:t>
      </w:r>
      <w:r w:rsidRPr="00351E28">
        <w:rPr>
          <w:rFonts w:ascii="Arial" w:hAnsi="Arial" w:cs="Arial"/>
          <w:sz w:val="24"/>
          <w:szCs w:val="24"/>
        </w:rPr>
        <w:t xml:space="preserve"> of their funding needs). Currently, Bank Bills account for only 1</w:t>
      </w:r>
      <w:r w:rsidR="006F5947" w:rsidRPr="006F5947">
        <w:rPr>
          <w:rFonts w:ascii="Arial" w:hAnsi="Arial" w:cs="Arial"/>
          <w:sz w:val="24"/>
          <w:szCs w:val="24"/>
        </w:rPr>
        <w:t xml:space="preserve"> </w:t>
      </w:r>
      <w:r w:rsidR="006F5947">
        <w:rPr>
          <w:rFonts w:ascii="Arial" w:hAnsi="Arial" w:cs="Arial"/>
          <w:sz w:val="24"/>
          <w:szCs w:val="24"/>
        </w:rPr>
        <w:t>per cent</w:t>
      </w:r>
      <w:r w:rsidR="006F5947" w:rsidRPr="006F5947">
        <w:rPr>
          <w:rFonts w:ascii="Arial" w:hAnsi="Arial" w:cs="Arial"/>
          <w:sz w:val="24"/>
          <w:szCs w:val="24"/>
        </w:rPr>
        <w:t xml:space="preserve"> </w:t>
      </w:r>
      <w:r w:rsidRPr="00351E28">
        <w:rPr>
          <w:rFonts w:ascii="Arial" w:hAnsi="Arial" w:cs="Arial"/>
          <w:sz w:val="24"/>
          <w:szCs w:val="24"/>
        </w:rPr>
        <w:t>to 2</w:t>
      </w:r>
      <w:r w:rsidR="00BC2C76" w:rsidRPr="00BC2C76">
        <w:rPr>
          <w:rFonts w:ascii="Arial" w:hAnsi="Arial" w:cs="Arial"/>
          <w:sz w:val="24"/>
          <w:szCs w:val="24"/>
        </w:rPr>
        <w:t xml:space="preserve"> </w:t>
      </w:r>
      <w:r w:rsidR="00BC2C76">
        <w:rPr>
          <w:rFonts w:ascii="Arial" w:hAnsi="Arial" w:cs="Arial"/>
          <w:sz w:val="24"/>
          <w:szCs w:val="24"/>
        </w:rPr>
        <w:t>per cent</w:t>
      </w:r>
      <w:r w:rsidRPr="00351E28">
        <w:rPr>
          <w:rFonts w:ascii="Arial" w:hAnsi="Arial" w:cs="Arial"/>
          <w:sz w:val="24"/>
          <w:szCs w:val="24"/>
        </w:rPr>
        <w:t xml:space="preserve"> of New Zealand banks’ total funding. </w:t>
      </w:r>
      <w:r>
        <w:rPr>
          <w:rFonts w:ascii="Arial" w:hAnsi="Arial" w:cs="Arial"/>
          <w:sz w:val="24"/>
          <w:szCs w:val="24"/>
        </w:rPr>
        <w:t xml:space="preserve"> </w:t>
      </w:r>
    </w:p>
    <w:p w:rsidR="001C4CA9" w:rsidRPr="008D4FF7" w:rsidRDefault="001C4CA9" w:rsidP="00284187">
      <w:pPr>
        <w:spacing w:line="240" w:lineRule="auto"/>
        <w:rPr>
          <w:rFonts w:ascii="Arial" w:hAnsi="Arial" w:cs="Arial"/>
          <w:b/>
          <w:sz w:val="24"/>
          <w:szCs w:val="24"/>
        </w:rPr>
      </w:pPr>
      <w:r w:rsidRPr="008D4FF7">
        <w:rPr>
          <w:rFonts w:ascii="Arial" w:hAnsi="Arial" w:cs="Arial"/>
          <w:b/>
          <w:sz w:val="24"/>
          <w:szCs w:val="24"/>
        </w:rPr>
        <w:t>The Bank Bill Benchmark Rate</w:t>
      </w:r>
      <w:r w:rsidR="008F6FFB">
        <w:rPr>
          <w:rFonts w:ascii="Arial" w:hAnsi="Arial" w:cs="Arial"/>
          <w:b/>
          <w:sz w:val="24"/>
          <w:szCs w:val="24"/>
        </w:rPr>
        <w:t xml:space="preserve"> (BKBM)</w:t>
      </w:r>
    </w:p>
    <w:p w:rsidR="00097AFB" w:rsidRDefault="001C4CA9" w:rsidP="00284187">
      <w:pPr>
        <w:spacing w:line="240" w:lineRule="auto"/>
        <w:rPr>
          <w:rFonts w:ascii="Arial" w:hAnsi="Arial" w:cs="Arial"/>
          <w:sz w:val="24"/>
          <w:szCs w:val="24"/>
        </w:rPr>
      </w:pPr>
      <w:r>
        <w:rPr>
          <w:rFonts w:ascii="Arial" w:hAnsi="Arial" w:cs="Arial"/>
          <w:sz w:val="24"/>
          <w:szCs w:val="24"/>
        </w:rPr>
        <w:lastRenderedPageBreak/>
        <w:t>The Bank Bill Benchmark Rate (</w:t>
      </w:r>
      <w:r w:rsidRPr="001C4CA9">
        <w:rPr>
          <w:rFonts w:ascii="Arial" w:hAnsi="Arial" w:cs="Arial"/>
          <w:sz w:val="24"/>
          <w:szCs w:val="24"/>
        </w:rPr>
        <w:t>BKBM</w:t>
      </w:r>
      <w:r>
        <w:rPr>
          <w:rFonts w:ascii="Arial" w:hAnsi="Arial" w:cs="Arial"/>
          <w:sz w:val="24"/>
          <w:szCs w:val="24"/>
        </w:rPr>
        <w:t>)</w:t>
      </w:r>
      <w:r w:rsidRPr="001C4CA9">
        <w:rPr>
          <w:rFonts w:ascii="Arial" w:hAnsi="Arial" w:cs="Arial"/>
          <w:sz w:val="24"/>
          <w:szCs w:val="24"/>
        </w:rPr>
        <w:t xml:space="preserve"> is the main interest rate benchmark in </w:t>
      </w:r>
      <w:r w:rsidR="000E7924">
        <w:rPr>
          <w:rFonts w:ascii="Arial" w:hAnsi="Arial" w:cs="Arial"/>
          <w:sz w:val="24"/>
          <w:szCs w:val="24"/>
        </w:rPr>
        <w:t>New Zealand</w:t>
      </w:r>
      <w:r w:rsidRPr="001C4CA9">
        <w:rPr>
          <w:rFonts w:ascii="Arial" w:hAnsi="Arial" w:cs="Arial"/>
          <w:sz w:val="24"/>
          <w:szCs w:val="24"/>
        </w:rPr>
        <w:t>. It is designed to reflect the</w:t>
      </w:r>
      <w:r>
        <w:rPr>
          <w:rFonts w:ascii="Arial" w:hAnsi="Arial" w:cs="Arial"/>
          <w:sz w:val="24"/>
          <w:szCs w:val="24"/>
        </w:rPr>
        <w:t xml:space="preserve"> </w:t>
      </w:r>
      <w:r w:rsidRPr="001C4CA9">
        <w:rPr>
          <w:rFonts w:ascii="Arial" w:hAnsi="Arial" w:cs="Arial"/>
          <w:sz w:val="24"/>
          <w:szCs w:val="24"/>
        </w:rPr>
        <w:t>supply and demand for Bank Bills and is used by market participants to calculate the</w:t>
      </w:r>
      <w:r>
        <w:rPr>
          <w:rFonts w:ascii="Arial" w:hAnsi="Arial" w:cs="Arial"/>
          <w:sz w:val="24"/>
          <w:szCs w:val="24"/>
        </w:rPr>
        <w:t xml:space="preserve"> </w:t>
      </w:r>
      <w:r w:rsidRPr="001C4CA9">
        <w:rPr>
          <w:rFonts w:ascii="Arial" w:hAnsi="Arial" w:cs="Arial"/>
          <w:sz w:val="24"/>
          <w:szCs w:val="24"/>
        </w:rPr>
        <w:t>amounts payable under various financial instruments. It is also used in calculating the</w:t>
      </w:r>
      <w:r>
        <w:rPr>
          <w:rFonts w:ascii="Arial" w:hAnsi="Arial" w:cs="Arial"/>
          <w:sz w:val="24"/>
          <w:szCs w:val="24"/>
        </w:rPr>
        <w:t xml:space="preserve"> </w:t>
      </w:r>
      <w:r w:rsidRPr="001C4CA9">
        <w:rPr>
          <w:rFonts w:ascii="Arial" w:hAnsi="Arial" w:cs="Arial"/>
          <w:sz w:val="24"/>
          <w:szCs w:val="24"/>
        </w:rPr>
        <w:t>value of many financial instruments</w:t>
      </w:r>
      <w:r w:rsidR="005E2260">
        <w:rPr>
          <w:rFonts w:ascii="Arial" w:hAnsi="Arial" w:cs="Arial"/>
          <w:sz w:val="24"/>
          <w:szCs w:val="24"/>
        </w:rPr>
        <w:t>.</w:t>
      </w:r>
    </w:p>
    <w:p w:rsidR="008468E5" w:rsidRDefault="008468E5" w:rsidP="008468E5">
      <w:pPr>
        <w:spacing w:line="240" w:lineRule="auto"/>
        <w:rPr>
          <w:rFonts w:ascii="Arial" w:hAnsi="Arial" w:cs="Arial"/>
          <w:sz w:val="24"/>
          <w:szCs w:val="24"/>
        </w:rPr>
      </w:pPr>
      <w:r>
        <w:rPr>
          <w:rFonts w:ascii="Arial" w:hAnsi="Arial" w:cs="Arial"/>
          <w:sz w:val="24"/>
          <w:szCs w:val="24"/>
        </w:rPr>
        <w:t xml:space="preserve">Because Bank Bills are short term instruments (with a maturity date of around 30-180 days), the market for Bank Bills is highly liquid. The BKBM is therefore a good reflection of the unsecured lending/borrowing rates between banks. </w:t>
      </w:r>
    </w:p>
    <w:p w:rsidR="00351E28" w:rsidRDefault="00351E28" w:rsidP="00284187">
      <w:pPr>
        <w:spacing w:line="240" w:lineRule="auto"/>
        <w:rPr>
          <w:rFonts w:ascii="Arial" w:hAnsi="Arial" w:cs="Arial"/>
          <w:sz w:val="24"/>
          <w:szCs w:val="24"/>
        </w:rPr>
      </w:pPr>
      <w:r w:rsidRPr="00351E28">
        <w:rPr>
          <w:rFonts w:ascii="Arial" w:hAnsi="Arial" w:cs="Arial"/>
          <w:sz w:val="24"/>
          <w:szCs w:val="24"/>
        </w:rPr>
        <w:t>BKBM rates are currently calculated based on electronic capture of trade information,</w:t>
      </w:r>
      <w:r>
        <w:rPr>
          <w:rFonts w:ascii="Arial" w:hAnsi="Arial" w:cs="Arial"/>
          <w:sz w:val="24"/>
          <w:szCs w:val="24"/>
        </w:rPr>
        <w:t xml:space="preserve"> </w:t>
      </w:r>
      <w:r w:rsidRPr="00351E28">
        <w:rPr>
          <w:rFonts w:ascii="Arial" w:hAnsi="Arial" w:cs="Arial"/>
          <w:sz w:val="24"/>
          <w:szCs w:val="24"/>
        </w:rPr>
        <w:t>or executable bid and offer pricing in the absence of trades, during a daily two-minute</w:t>
      </w:r>
      <w:r>
        <w:rPr>
          <w:rFonts w:ascii="Arial" w:hAnsi="Arial" w:cs="Arial"/>
          <w:sz w:val="24"/>
          <w:szCs w:val="24"/>
        </w:rPr>
        <w:t xml:space="preserve"> </w:t>
      </w:r>
      <w:r w:rsidRPr="00351E28">
        <w:rPr>
          <w:rFonts w:ascii="Arial" w:hAnsi="Arial" w:cs="Arial"/>
          <w:sz w:val="24"/>
          <w:szCs w:val="24"/>
        </w:rPr>
        <w:t>trading window.</w:t>
      </w:r>
      <w:r>
        <w:rPr>
          <w:rFonts w:ascii="Arial" w:hAnsi="Arial" w:cs="Arial"/>
          <w:sz w:val="24"/>
          <w:szCs w:val="24"/>
        </w:rPr>
        <w:t xml:space="preserve">  </w:t>
      </w:r>
      <w:r w:rsidRPr="00351E28">
        <w:rPr>
          <w:rFonts w:ascii="Arial" w:hAnsi="Arial" w:cs="Arial"/>
          <w:sz w:val="24"/>
          <w:szCs w:val="24"/>
        </w:rPr>
        <w:t>The calculation of BKBM rates</w:t>
      </w:r>
      <w:r>
        <w:rPr>
          <w:rFonts w:ascii="Arial" w:hAnsi="Arial" w:cs="Arial"/>
          <w:sz w:val="24"/>
          <w:szCs w:val="24"/>
        </w:rPr>
        <w:t xml:space="preserve"> </w:t>
      </w:r>
      <w:r w:rsidRPr="00351E28">
        <w:rPr>
          <w:rFonts w:ascii="Arial" w:hAnsi="Arial" w:cs="Arial"/>
          <w:sz w:val="24"/>
          <w:szCs w:val="24"/>
        </w:rPr>
        <w:t>based on actual observed</w:t>
      </w:r>
      <w:r>
        <w:rPr>
          <w:rFonts w:ascii="Arial" w:hAnsi="Arial" w:cs="Arial"/>
          <w:sz w:val="24"/>
          <w:szCs w:val="24"/>
        </w:rPr>
        <w:t xml:space="preserve"> </w:t>
      </w:r>
      <w:r w:rsidRPr="00351E28">
        <w:rPr>
          <w:rFonts w:ascii="Arial" w:hAnsi="Arial" w:cs="Arial"/>
          <w:sz w:val="24"/>
          <w:szCs w:val="24"/>
        </w:rPr>
        <w:t xml:space="preserve">transactions is a </w:t>
      </w:r>
      <w:r w:rsidR="00D1327D">
        <w:rPr>
          <w:rFonts w:ascii="Arial" w:hAnsi="Arial" w:cs="Arial"/>
          <w:sz w:val="24"/>
          <w:szCs w:val="24"/>
        </w:rPr>
        <w:t>p</w:t>
      </w:r>
      <w:r w:rsidRPr="00351E28">
        <w:rPr>
          <w:rFonts w:ascii="Arial" w:hAnsi="Arial" w:cs="Arial"/>
          <w:sz w:val="24"/>
          <w:szCs w:val="24"/>
        </w:rPr>
        <w:t>ioneering feature</w:t>
      </w:r>
      <w:r>
        <w:rPr>
          <w:rFonts w:ascii="Arial" w:hAnsi="Arial" w:cs="Arial"/>
          <w:sz w:val="24"/>
          <w:szCs w:val="24"/>
        </w:rPr>
        <w:t xml:space="preserve"> </w:t>
      </w:r>
      <w:r w:rsidRPr="00351E28">
        <w:rPr>
          <w:rFonts w:ascii="Arial" w:hAnsi="Arial" w:cs="Arial"/>
          <w:sz w:val="24"/>
          <w:szCs w:val="24"/>
        </w:rPr>
        <w:t xml:space="preserve">of the </w:t>
      </w:r>
      <w:r w:rsidR="000E7924">
        <w:rPr>
          <w:rFonts w:ascii="Arial" w:hAnsi="Arial" w:cs="Arial"/>
          <w:sz w:val="24"/>
          <w:szCs w:val="24"/>
        </w:rPr>
        <w:t>New Zealand</w:t>
      </w:r>
      <w:r w:rsidRPr="00351E28">
        <w:rPr>
          <w:rFonts w:ascii="Arial" w:hAnsi="Arial" w:cs="Arial"/>
          <w:sz w:val="24"/>
          <w:szCs w:val="24"/>
        </w:rPr>
        <w:t xml:space="preserve"> market</w:t>
      </w:r>
      <w:r>
        <w:rPr>
          <w:rFonts w:ascii="Arial" w:hAnsi="Arial" w:cs="Arial"/>
          <w:sz w:val="24"/>
          <w:szCs w:val="24"/>
        </w:rPr>
        <w:t>.</w:t>
      </w:r>
    </w:p>
    <w:p w:rsidR="00E87521" w:rsidRPr="008D4FF7" w:rsidRDefault="00E87521" w:rsidP="00E87521">
      <w:pPr>
        <w:pStyle w:val="CabStandard"/>
        <w:numPr>
          <w:ilvl w:val="0"/>
          <w:numId w:val="0"/>
        </w:numPr>
        <w:rPr>
          <w:rFonts w:ascii="Arial" w:hAnsi="Arial" w:cs="Arial"/>
          <w:b/>
          <w:szCs w:val="24"/>
        </w:rPr>
      </w:pPr>
      <w:r w:rsidRPr="008D4FF7">
        <w:rPr>
          <w:rFonts w:ascii="Arial" w:hAnsi="Arial" w:cs="Arial"/>
          <w:b/>
          <w:szCs w:val="24"/>
        </w:rPr>
        <w:t>BKBM use in the EU by EU supervised entities</w:t>
      </w:r>
    </w:p>
    <w:p w:rsidR="00E87521" w:rsidRDefault="00E87521" w:rsidP="00E87521">
      <w:pPr>
        <w:pStyle w:val="CabStandard"/>
        <w:numPr>
          <w:ilvl w:val="0"/>
          <w:numId w:val="0"/>
        </w:numPr>
        <w:rPr>
          <w:rFonts w:ascii="Arial" w:hAnsi="Arial" w:cs="Arial"/>
          <w:szCs w:val="24"/>
        </w:rPr>
      </w:pPr>
      <w:r w:rsidRPr="00F215A4">
        <w:rPr>
          <w:rFonts w:ascii="Arial" w:hAnsi="Arial" w:cs="Arial"/>
          <w:szCs w:val="24"/>
        </w:rPr>
        <w:t>The two main derivatives that reference BKBM where counterparties are likely to be EU</w:t>
      </w:r>
      <w:r>
        <w:rPr>
          <w:rFonts w:ascii="Arial" w:hAnsi="Arial" w:cs="Arial"/>
          <w:szCs w:val="24"/>
        </w:rPr>
        <w:t>-</w:t>
      </w:r>
      <w:r w:rsidRPr="00F215A4">
        <w:rPr>
          <w:rFonts w:ascii="Arial" w:hAnsi="Arial" w:cs="Arial"/>
          <w:szCs w:val="24"/>
        </w:rPr>
        <w:t xml:space="preserve">regulated are </w:t>
      </w:r>
      <w:r>
        <w:rPr>
          <w:rFonts w:ascii="Arial" w:hAnsi="Arial" w:cs="Arial"/>
          <w:szCs w:val="24"/>
        </w:rPr>
        <w:t>New Zealand dollar (NZD) i</w:t>
      </w:r>
      <w:r w:rsidR="001D49B5">
        <w:rPr>
          <w:rFonts w:ascii="Arial" w:hAnsi="Arial" w:cs="Arial"/>
          <w:szCs w:val="24"/>
        </w:rPr>
        <w:t>nterest rate swaps and cross-currency swaps</w:t>
      </w:r>
      <w:r w:rsidRPr="00F215A4">
        <w:rPr>
          <w:rFonts w:ascii="Arial" w:hAnsi="Arial" w:cs="Arial"/>
          <w:szCs w:val="24"/>
        </w:rPr>
        <w:t xml:space="preserve">. </w:t>
      </w:r>
    </w:p>
    <w:p w:rsidR="00E87521" w:rsidRDefault="009004FD" w:rsidP="00E87521">
      <w:pPr>
        <w:pStyle w:val="CabStandard"/>
        <w:numPr>
          <w:ilvl w:val="0"/>
          <w:numId w:val="0"/>
        </w:numPr>
        <w:rPr>
          <w:rFonts w:ascii="Arial" w:hAnsi="Arial" w:cs="Arial"/>
          <w:szCs w:val="24"/>
        </w:rPr>
      </w:pPr>
      <w:r>
        <w:rPr>
          <w:rFonts w:ascii="Arial" w:hAnsi="Arial" w:cs="Arial"/>
          <w:szCs w:val="24"/>
        </w:rPr>
        <w:t>NZD</w:t>
      </w:r>
      <w:r w:rsidR="00E87521" w:rsidRPr="00F215A4">
        <w:rPr>
          <w:rFonts w:ascii="Arial" w:hAnsi="Arial" w:cs="Arial"/>
          <w:szCs w:val="24"/>
        </w:rPr>
        <w:t xml:space="preserve"> </w:t>
      </w:r>
      <w:r w:rsidR="001D49B5">
        <w:rPr>
          <w:rFonts w:ascii="Arial" w:hAnsi="Arial" w:cs="Arial"/>
          <w:szCs w:val="24"/>
        </w:rPr>
        <w:t>interest rate swaps</w:t>
      </w:r>
      <w:r w:rsidR="00E87521" w:rsidRPr="00F215A4">
        <w:rPr>
          <w:rFonts w:ascii="Arial" w:hAnsi="Arial" w:cs="Arial"/>
          <w:szCs w:val="24"/>
        </w:rPr>
        <w:t xml:space="preserve"> are used extensively by domestic banks to hedge interest rate risk on their balance sheets</w:t>
      </w:r>
      <w:r w:rsidR="00E87521">
        <w:rPr>
          <w:rFonts w:ascii="Arial" w:hAnsi="Arial" w:cs="Arial"/>
          <w:szCs w:val="24"/>
        </w:rPr>
        <w:t xml:space="preserve">, </w:t>
      </w:r>
      <w:r w:rsidR="00E87521" w:rsidRPr="00F215A4">
        <w:rPr>
          <w:rFonts w:ascii="Arial" w:hAnsi="Arial" w:cs="Arial"/>
          <w:szCs w:val="24"/>
        </w:rPr>
        <w:t>while</w:t>
      </w:r>
      <w:r w:rsidR="00B32F53">
        <w:rPr>
          <w:rFonts w:ascii="Arial" w:hAnsi="Arial" w:cs="Arial"/>
          <w:szCs w:val="24"/>
        </w:rPr>
        <w:t xml:space="preserve"> cross-currency swaps</w:t>
      </w:r>
      <w:r w:rsidR="00E87521" w:rsidRPr="00F215A4">
        <w:rPr>
          <w:rFonts w:ascii="Arial" w:hAnsi="Arial" w:cs="Arial"/>
          <w:szCs w:val="24"/>
        </w:rPr>
        <w:t xml:space="preserve"> are used to hedge currency risk associated with funding raised in other currencies. </w:t>
      </w:r>
    </w:p>
    <w:p w:rsidR="00342549" w:rsidRDefault="00BE50D3" w:rsidP="00E87521">
      <w:pPr>
        <w:pStyle w:val="CabStandard"/>
        <w:numPr>
          <w:ilvl w:val="0"/>
          <w:numId w:val="0"/>
        </w:numPr>
        <w:rPr>
          <w:rFonts w:ascii="Arial" w:hAnsi="Arial" w:cs="Arial"/>
          <w:szCs w:val="24"/>
        </w:rPr>
      </w:pPr>
      <w:r>
        <w:rPr>
          <w:rFonts w:ascii="Arial" w:hAnsi="Arial" w:cs="Arial"/>
          <w:szCs w:val="24"/>
        </w:rPr>
        <w:t>In a very simple</w:t>
      </w:r>
      <w:r w:rsidR="00342549" w:rsidRPr="000A01B6">
        <w:rPr>
          <w:rFonts w:ascii="Arial" w:hAnsi="Arial" w:cs="Arial"/>
          <w:szCs w:val="24"/>
        </w:rPr>
        <w:t xml:space="preserve"> interest rate swap,</w:t>
      </w:r>
      <w:r w:rsidR="00342549">
        <w:rPr>
          <w:rFonts w:ascii="Arial" w:hAnsi="Arial" w:cs="Arial"/>
          <w:szCs w:val="24"/>
        </w:rPr>
        <w:t xml:space="preserve"> </w:t>
      </w:r>
      <w:r w:rsidR="008A09EA" w:rsidRPr="008A09EA">
        <w:rPr>
          <w:rFonts w:ascii="Arial" w:hAnsi="Arial" w:cs="Arial"/>
          <w:szCs w:val="24"/>
        </w:rPr>
        <w:t xml:space="preserve">Party A might agree to pay Party B based on a fixed interest rate, and Party B might agree to pay Party </w:t>
      </w:r>
      <w:proofErr w:type="gramStart"/>
      <w:r w:rsidR="008A09EA" w:rsidRPr="008A09EA">
        <w:rPr>
          <w:rFonts w:ascii="Arial" w:hAnsi="Arial" w:cs="Arial"/>
          <w:szCs w:val="24"/>
        </w:rPr>
        <w:t>A</w:t>
      </w:r>
      <w:proofErr w:type="gramEnd"/>
      <w:r w:rsidR="008A09EA" w:rsidRPr="008A09EA">
        <w:rPr>
          <w:rFonts w:ascii="Arial" w:hAnsi="Arial" w:cs="Arial"/>
          <w:szCs w:val="24"/>
        </w:rPr>
        <w:t xml:space="preserve"> based on a floating interest rate. The floating rate will be tied to a financial benchmark, such as the </w:t>
      </w:r>
      <w:r w:rsidR="006E158B">
        <w:rPr>
          <w:rFonts w:ascii="Arial" w:hAnsi="Arial" w:cs="Arial"/>
          <w:szCs w:val="24"/>
        </w:rPr>
        <w:t>BKBM</w:t>
      </w:r>
      <w:r w:rsidR="008A09EA" w:rsidRPr="008A09EA">
        <w:rPr>
          <w:rFonts w:ascii="Arial" w:hAnsi="Arial" w:cs="Arial"/>
          <w:szCs w:val="24"/>
        </w:rPr>
        <w:t xml:space="preserve">. Party B might pay, for example, </w:t>
      </w:r>
      <w:r w:rsidR="008A09EA">
        <w:rPr>
          <w:rFonts w:ascii="Arial" w:hAnsi="Arial" w:cs="Arial"/>
          <w:szCs w:val="24"/>
        </w:rPr>
        <w:t>BKBM</w:t>
      </w:r>
      <w:r w:rsidR="008A09EA" w:rsidRPr="008A09EA">
        <w:rPr>
          <w:rFonts w:ascii="Arial" w:hAnsi="Arial" w:cs="Arial"/>
          <w:szCs w:val="24"/>
        </w:rPr>
        <w:t xml:space="preserve"> + 1 per cent per month on whatever the principal amount is.</w:t>
      </w:r>
      <w:r w:rsidR="000A01B6">
        <w:rPr>
          <w:rFonts w:ascii="Arial" w:hAnsi="Arial" w:cs="Arial"/>
          <w:szCs w:val="24"/>
        </w:rPr>
        <w:t xml:space="preserve"> </w:t>
      </w:r>
    </w:p>
    <w:p w:rsidR="00E87521" w:rsidRDefault="00E87521" w:rsidP="00E87521">
      <w:pPr>
        <w:pStyle w:val="CabStandard"/>
        <w:numPr>
          <w:ilvl w:val="0"/>
          <w:numId w:val="0"/>
        </w:numPr>
        <w:rPr>
          <w:rFonts w:ascii="Arial" w:hAnsi="Arial" w:cs="Arial"/>
          <w:szCs w:val="24"/>
        </w:rPr>
      </w:pPr>
      <w:r w:rsidRPr="00F215A4">
        <w:rPr>
          <w:rFonts w:ascii="Arial" w:hAnsi="Arial" w:cs="Arial"/>
          <w:szCs w:val="24"/>
        </w:rPr>
        <w:t>BKBM is</w:t>
      </w:r>
      <w:r w:rsidR="00C32DFF">
        <w:rPr>
          <w:rFonts w:ascii="Arial" w:hAnsi="Arial" w:cs="Arial"/>
          <w:szCs w:val="24"/>
        </w:rPr>
        <w:t xml:space="preserve"> also</w:t>
      </w:r>
      <w:r w:rsidRPr="00F215A4">
        <w:rPr>
          <w:rFonts w:ascii="Arial" w:hAnsi="Arial" w:cs="Arial"/>
          <w:szCs w:val="24"/>
        </w:rPr>
        <w:t xml:space="preserve"> used as a reference </w:t>
      </w:r>
      <w:r w:rsidR="001D49B5">
        <w:rPr>
          <w:rFonts w:ascii="Arial" w:hAnsi="Arial" w:cs="Arial"/>
          <w:szCs w:val="24"/>
        </w:rPr>
        <w:t>in</w:t>
      </w:r>
      <w:r w:rsidRPr="00F215A4">
        <w:rPr>
          <w:rFonts w:ascii="Arial" w:hAnsi="Arial" w:cs="Arial"/>
          <w:szCs w:val="24"/>
        </w:rPr>
        <w:t xml:space="preserve"> </w:t>
      </w:r>
      <w:r w:rsidR="001D49B5">
        <w:rPr>
          <w:rFonts w:ascii="Arial" w:hAnsi="Arial" w:cs="Arial"/>
          <w:szCs w:val="24"/>
        </w:rPr>
        <w:t>cross-currency swaps</w:t>
      </w:r>
      <w:r w:rsidRPr="00F215A4">
        <w:rPr>
          <w:rFonts w:ascii="Arial" w:hAnsi="Arial" w:cs="Arial"/>
          <w:szCs w:val="24"/>
        </w:rPr>
        <w:t xml:space="preserve">, where funding is raised in an alternative currency and swapped to </w:t>
      </w:r>
      <w:r>
        <w:rPr>
          <w:rFonts w:ascii="Arial" w:hAnsi="Arial" w:cs="Arial"/>
          <w:szCs w:val="24"/>
        </w:rPr>
        <w:t>NZD</w:t>
      </w:r>
      <w:r w:rsidRPr="00F215A4">
        <w:rPr>
          <w:rFonts w:ascii="Arial" w:hAnsi="Arial" w:cs="Arial"/>
          <w:szCs w:val="24"/>
        </w:rPr>
        <w:t xml:space="preserve"> using BKBM as the funding rate </w:t>
      </w:r>
      <w:r w:rsidRPr="00F215A4">
        <w:rPr>
          <w:rFonts w:ascii="Arial" w:hAnsi="Arial" w:cs="Arial"/>
          <w:szCs w:val="24"/>
        </w:rPr>
        <w:lastRenderedPageBreak/>
        <w:t xml:space="preserve">reference. These transactions are not </w:t>
      </w:r>
      <w:r>
        <w:rPr>
          <w:rFonts w:ascii="Arial" w:hAnsi="Arial" w:cs="Arial"/>
          <w:szCs w:val="24"/>
        </w:rPr>
        <w:t>“</w:t>
      </w:r>
      <w:r w:rsidRPr="00F215A4">
        <w:rPr>
          <w:rFonts w:ascii="Arial" w:hAnsi="Arial" w:cs="Arial"/>
          <w:szCs w:val="24"/>
        </w:rPr>
        <w:t>cleared</w:t>
      </w:r>
      <w:r>
        <w:rPr>
          <w:rFonts w:ascii="Arial" w:hAnsi="Arial" w:cs="Arial"/>
          <w:szCs w:val="24"/>
        </w:rPr>
        <w:t>” through a central party</w:t>
      </w:r>
      <w:r w:rsidRPr="00F215A4">
        <w:rPr>
          <w:rFonts w:ascii="Arial" w:hAnsi="Arial" w:cs="Arial"/>
          <w:szCs w:val="24"/>
        </w:rPr>
        <w:t xml:space="preserve"> and are bilateral in nature between the </w:t>
      </w:r>
      <w:r>
        <w:rPr>
          <w:rFonts w:ascii="Arial" w:hAnsi="Arial" w:cs="Arial"/>
          <w:szCs w:val="24"/>
        </w:rPr>
        <w:t>New Zealand</w:t>
      </w:r>
      <w:r w:rsidRPr="00F215A4">
        <w:rPr>
          <w:rFonts w:ascii="Arial" w:hAnsi="Arial" w:cs="Arial"/>
          <w:szCs w:val="24"/>
        </w:rPr>
        <w:t xml:space="preserve"> domestic </w:t>
      </w:r>
      <w:r>
        <w:rPr>
          <w:rFonts w:ascii="Arial" w:hAnsi="Arial" w:cs="Arial"/>
          <w:szCs w:val="24"/>
        </w:rPr>
        <w:t>party (</w:t>
      </w:r>
      <w:proofErr w:type="spellStart"/>
      <w:r>
        <w:rPr>
          <w:rFonts w:ascii="Arial" w:hAnsi="Arial" w:cs="Arial"/>
          <w:szCs w:val="24"/>
        </w:rPr>
        <w:t>eg</w:t>
      </w:r>
      <w:proofErr w:type="spellEnd"/>
      <w:r>
        <w:rPr>
          <w:rFonts w:ascii="Arial" w:hAnsi="Arial" w:cs="Arial"/>
          <w:szCs w:val="24"/>
        </w:rPr>
        <w:t xml:space="preserve"> </w:t>
      </w:r>
      <w:r w:rsidRPr="00F215A4">
        <w:rPr>
          <w:rFonts w:ascii="Arial" w:hAnsi="Arial" w:cs="Arial"/>
          <w:szCs w:val="24"/>
        </w:rPr>
        <w:t>bank</w:t>
      </w:r>
      <w:r>
        <w:rPr>
          <w:rFonts w:ascii="Arial" w:hAnsi="Arial" w:cs="Arial"/>
          <w:szCs w:val="24"/>
        </w:rPr>
        <w:t>)</w:t>
      </w:r>
      <w:r w:rsidRPr="00F215A4">
        <w:rPr>
          <w:rFonts w:ascii="Arial" w:hAnsi="Arial" w:cs="Arial"/>
          <w:szCs w:val="24"/>
        </w:rPr>
        <w:t xml:space="preserve"> and the offshore counterparty. </w:t>
      </w:r>
    </w:p>
    <w:p w:rsidR="00E87521" w:rsidRPr="00F642C6" w:rsidRDefault="00E87521" w:rsidP="00E87521">
      <w:pPr>
        <w:pStyle w:val="CabStandard"/>
        <w:numPr>
          <w:ilvl w:val="0"/>
          <w:numId w:val="0"/>
        </w:numPr>
        <w:rPr>
          <w:rFonts w:ascii="Arial" w:hAnsi="Arial" w:cs="Arial"/>
          <w:szCs w:val="24"/>
        </w:rPr>
      </w:pPr>
      <w:r>
        <w:rPr>
          <w:rFonts w:ascii="Arial" w:hAnsi="Arial" w:cs="Arial"/>
          <w:szCs w:val="24"/>
        </w:rPr>
        <w:t>BKBM is also used by EU-</w:t>
      </w:r>
      <w:r w:rsidRPr="00F215A4">
        <w:rPr>
          <w:rFonts w:ascii="Arial" w:hAnsi="Arial" w:cs="Arial"/>
          <w:szCs w:val="24"/>
        </w:rPr>
        <w:t xml:space="preserve">regulated entities to settle </w:t>
      </w:r>
      <w:r>
        <w:rPr>
          <w:rFonts w:ascii="Arial" w:hAnsi="Arial" w:cs="Arial"/>
          <w:szCs w:val="24"/>
        </w:rPr>
        <w:t>other types of NZD</w:t>
      </w:r>
      <w:r w:rsidRPr="00F215A4">
        <w:rPr>
          <w:rFonts w:ascii="Arial" w:hAnsi="Arial" w:cs="Arial"/>
          <w:szCs w:val="24"/>
        </w:rPr>
        <w:t xml:space="preserve"> </w:t>
      </w:r>
      <w:r>
        <w:rPr>
          <w:rFonts w:ascii="Arial" w:hAnsi="Arial" w:cs="Arial"/>
          <w:szCs w:val="24"/>
        </w:rPr>
        <w:t xml:space="preserve">financial products such as </w:t>
      </w:r>
      <w:r w:rsidRPr="00F215A4">
        <w:rPr>
          <w:rFonts w:ascii="Arial" w:hAnsi="Arial" w:cs="Arial"/>
          <w:szCs w:val="24"/>
        </w:rPr>
        <w:t>Forward Rate Agreements and Floating Rate Notes.</w:t>
      </w:r>
    </w:p>
    <w:p w:rsidR="009C7459" w:rsidRPr="008D4FF7" w:rsidRDefault="009C7459" w:rsidP="00284187">
      <w:pPr>
        <w:spacing w:line="240" w:lineRule="auto"/>
        <w:rPr>
          <w:rFonts w:ascii="Arial" w:hAnsi="Arial" w:cs="Arial"/>
          <w:b/>
          <w:sz w:val="24"/>
          <w:szCs w:val="24"/>
        </w:rPr>
      </w:pPr>
      <w:r w:rsidRPr="008D4FF7">
        <w:rPr>
          <w:rFonts w:ascii="Arial" w:hAnsi="Arial" w:cs="Arial"/>
          <w:b/>
          <w:sz w:val="24"/>
          <w:szCs w:val="24"/>
        </w:rPr>
        <w:t>Closing Rates</w:t>
      </w:r>
    </w:p>
    <w:p w:rsidR="009C7459" w:rsidRPr="009C7459" w:rsidRDefault="009C7459" w:rsidP="00284187">
      <w:pPr>
        <w:spacing w:line="240" w:lineRule="auto"/>
        <w:rPr>
          <w:rFonts w:ascii="Arial" w:hAnsi="Arial" w:cs="Arial"/>
          <w:sz w:val="24"/>
          <w:szCs w:val="24"/>
        </w:rPr>
      </w:pPr>
      <w:r w:rsidRPr="009C7459">
        <w:rPr>
          <w:rFonts w:ascii="Arial" w:hAnsi="Arial" w:cs="Arial"/>
          <w:sz w:val="24"/>
          <w:szCs w:val="24"/>
        </w:rPr>
        <w:t>Closing rates are the end-of-day rates or prices for various traded securities, including</w:t>
      </w:r>
      <w:r>
        <w:rPr>
          <w:rFonts w:ascii="Arial" w:hAnsi="Arial" w:cs="Arial"/>
          <w:sz w:val="24"/>
          <w:szCs w:val="24"/>
        </w:rPr>
        <w:t xml:space="preserve"> </w:t>
      </w:r>
      <w:r w:rsidRPr="009C7459">
        <w:rPr>
          <w:rFonts w:ascii="Arial" w:hAnsi="Arial" w:cs="Arial"/>
          <w:sz w:val="24"/>
          <w:szCs w:val="24"/>
        </w:rPr>
        <w:t>interest rate swaps, foreign exchange rates, corporate bonds and government bonds.</w:t>
      </w:r>
      <w:r>
        <w:rPr>
          <w:rFonts w:ascii="Arial" w:hAnsi="Arial" w:cs="Arial"/>
          <w:sz w:val="24"/>
          <w:szCs w:val="24"/>
        </w:rPr>
        <w:t xml:space="preserve">  </w:t>
      </w:r>
      <w:r w:rsidRPr="009C7459">
        <w:rPr>
          <w:rFonts w:ascii="Arial" w:hAnsi="Arial" w:cs="Arial"/>
          <w:sz w:val="24"/>
          <w:szCs w:val="24"/>
        </w:rPr>
        <w:t>Closing rates are particularly important to the funds management industry, including</w:t>
      </w:r>
      <w:r>
        <w:rPr>
          <w:rFonts w:ascii="Arial" w:hAnsi="Arial" w:cs="Arial"/>
          <w:sz w:val="24"/>
          <w:szCs w:val="24"/>
        </w:rPr>
        <w:t xml:space="preserve"> </w:t>
      </w:r>
      <w:r w:rsidRPr="009C7459">
        <w:rPr>
          <w:rFonts w:ascii="Arial" w:hAnsi="Arial" w:cs="Arial"/>
          <w:sz w:val="24"/>
          <w:szCs w:val="24"/>
        </w:rPr>
        <w:t>KiwiSaver funds, which rely on closing rates to assess the value of their portfolios.</w:t>
      </w:r>
    </w:p>
    <w:p w:rsidR="009C7459" w:rsidRDefault="009C7459" w:rsidP="00284187">
      <w:pPr>
        <w:spacing w:line="240" w:lineRule="auto"/>
        <w:rPr>
          <w:rFonts w:ascii="Arial" w:hAnsi="Arial" w:cs="Arial"/>
          <w:sz w:val="24"/>
          <w:szCs w:val="24"/>
        </w:rPr>
      </w:pPr>
      <w:r w:rsidRPr="009C7459">
        <w:rPr>
          <w:rFonts w:ascii="Arial" w:hAnsi="Arial" w:cs="Arial"/>
          <w:sz w:val="24"/>
          <w:szCs w:val="24"/>
        </w:rPr>
        <w:t>Until recently, end-of-day closing rates were based on submissions</w:t>
      </w:r>
      <w:r>
        <w:rPr>
          <w:rFonts w:ascii="Arial" w:hAnsi="Arial" w:cs="Arial"/>
          <w:sz w:val="24"/>
          <w:szCs w:val="24"/>
        </w:rPr>
        <w:t xml:space="preserve"> </w:t>
      </w:r>
      <w:r w:rsidRPr="009C7459">
        <w:rPr>
          <w:rFonts w:ascii="Arial" w:hAnsi="Arial" w:cs="Arial"/>
          <w:sz w:val="24"/>
          <w:szCs w:val="24"/>
        </w:rPr>
        <w:t>of indicative prices (expert opinions about the relevant price, value or rate) from market</w:t>
      </w:r>
      <w:r>
        <w:rPr>
          <w:rFonts w:ascii="Arial" w:hAnsi="Arial" w:cs="Arial"/>
          <w:sz w:val="24"/>
          <w:szCs w:val="24"/>
        </w:rPr>
        <w:t xml:space="preserve"> </w:t>
      </w:r>
      <w:r w:rsidRPr="009C7459">
        <w:rPr>
          <w:rFonts w:ascii="Arial" w:hAnsi="Arial" w:cs="Arial"/>
          <w:sz w:val="24"/>
          <w:szCs w:val="24"/>
        </w:rPr>
        <w:t xml:space="preserve">participants. </w:t>
      </w:r>
      <w:r w:rsidR="0032606D">
        <w:rPr>
          <w:rFonts w:ascii="Arial" w:hAnsi="Arial" w:cs="Arial"/>
          <w:sz w:val="24"/>
          <w:szCs w:val="24"/>
        </w:rPr>
        <w:t>However, i</w:t>
      </w:r>
      <w:r w:rsidRPr="009C7459">
        <w:rPr>
          <w:rFonts w:ascii="Arial" w:hAnsi="Arial" w:cs="Arial"/>
          <w:sz w:val="24"/>
          <w:szCs w:val="24"/>
        </w:rPr>
        <w:t xml:space="preserve">n 2017, </w:t>
      </w:r>
      <w:r>
        <w:rPr>
          <w:rFonts w:ascii="Arial" w:hAnsi="Arial" w:cs="Arial"/>
          <w:sz w:val="24"/>
          <w:szCs w:val="24"/>
        </w:rPr>
        <w:t xml:space="preserve">the </w:t>
      </w:r>
      <w:r w:rsidR="00D1327D">
        <w:rPr>
          <w:rFonts w:ascii="Arial" w:hAnsi="Arial" w:cs="Arial"/>
          <w:sz w:val="24"/>
          <w:szCs w:val="24"/>
        </w:rPr>
        <w:t>NZFMA</w:t>
      </w:r>
      <w:r>
        <w:rPr>
          <w:rFonts w:ascii="Arial" w:hAnsi="Arial" w:cs="Arial"/>
          <w:sz w:val="24"/>
          <w:szCs w:val="24"/>
        </w:rPr>
        <w:t xml:space="preserve"> </w:t>
      </w:r>
      <w:r w:rsidRPr="009C7459">
        <w:rPr>
          <w:rFonts w:ascii="Arial" w:hAnsi="Arial" w:cs="Arial"/>
          <w:sz w:val="24"/>
          <w:szCs w:val="24"/>
        </w:rPr>
        <w:t>moved to a methodology based on electronic capture of</w:t>
      </w:r>
      <w:r>
        <w:rPr>
          <w:rFonts w:ascii="Arial" w:hAnsi="Arial" w:cs="Arial"/>
          <w:sz w:val="24"/>
          <w:szCs w:val="24"/>
        </w:rPr>
        <w:t xml:space="preserve"> </w:t>
      </w:r>
      <w:proofErr w:type="spellStart"/>
      <w:r w:rsidRPr="009C7459">
        <w:rPr>
          <w:rFonts w:ascii="Arial" w:hAnsi="Arial" w:cs="Arial"/>
          <w:sz w:val="24"/>
          <w:szCs w:val="24"/>
        </w:rPr>
        <w:t>dealable</w:t>
      </w:r>
      <w:proofErr w:type="spellEnd"/>
      <w:r>
        <w:rPr>
          <w:rFonts w:ascii="Arial" w:hAnsi="Arial" w:cs="Arial"/>
          <w:sz w:val="24"/>
          <w:szCs w:val="24"/>
        </w:rPr>
        <w:t xml:space="preserve"> </w:t>
      </w:r>
      <w:r w:rsidRPr="009C7459">
        <w:rPr>
          <w:rFonts w:ascii="Arial" w:hAnsi="Arial" w:cs="Arial"/>
          <w:sz w:val="24"/>
          <w:szCs w:val="24"/>
        </w:rPr>
        <w:t>bids and offers from selected market participants.</w:t>
      </w:r>
    </w:p>
    <w:p w:rsidR="00220CE8" w:rsidRPr="008D4FF7" w:rsidRDefault="00220CE8" w:rsidP="00220CE8">
      <w:pPr>
        <w:pStyle w:val="CabStandard"/>
        <w:numPr>
          <w:ilvl w:val="0"/>
          <w:numId w:val="0"/>
        </w:numPr>
        <w:rPr>
          <w:rFonts w:ascii="Arial" w:hAnsi="Arial" w:cs="Arial"/>
          <w:b/>
          <w:szCs w:val="24"/>
        </w:rPr>
      </w:pPr>
      <w:r w:rsidRPr="008D4FF7">
        <w:rPr>
          <w:rFonts w:ascii="Arial" w:hAnsi="Arial" w:cs="Arial"/>
          <w:b/>
          <w:szCs w:val="24"/>
        </w:rPr>
        <w:t>Closing rates and the EU regulations</w:t>
      </w:r>
    </w:p>
    <w:p w:rsidR="00220CE8" w:rsidRPr="00582D4B" w:rsidRDefault="00220CE8" w:rsidP="00220CE8">
      <w:pPr>
        <w:pStyle w:val="CabStandard"/>
        <w:numPr>
          <w:ilvl w:val="0"/>
          <w:numId w:val="0"/>
        </w:numPr>
        <w:rPr>
          <w:rFonts w:ascii="Arial" w:hAnsi="Arial" w:cs="Arial"/>
          <w:szCs w:val="24"/>
        </w:rPr>
      </w:pPr>
      <w:r w:rsidRPr="00F215A4">
        <w:rPr>
          <w:rFonts w:ascii="Arial" w:hAnsi="Arial" w:cs="Arial"/>
          <w:szCs w:val="24"/>
        </w:rPr>
        <w:t xml:space="preserve">As closing rates are designed to be a price reference point to assist with end-of-day financial product valuations, it is possible that the </w:t>
      </w:r>
      <w:r>
        <w:rPr>
          <w:rFonts w:ascii="Arial" w:hAnsi="Arial" w:cs="Arial"/>
          <w:szCs w:val="24"/>
        </w:rPr>
        <w:t>NZFMA’s</w:t>
      </w:r>
      <w:r w:rsidRPr="00F215A4">
        <w:rPr>
          <w:rFonts w:ascii="Arial" w:hAnsi="Arial" w:cs="Arial"/>
          <w:szCs w:val="24"/>
        </w:rPr>
        <w:t xml:space="preserve"> closing rates could be benchmarks </w:t>
      </w:r>
      <w:r>
        <w:rPr>
          <w:rFonts w:ascii="Arial" w:hAnsi="Arial" w:cs="Arial"/>
          <w:szCs w:val="24"/>
        </w:rPr>
        <w:t>that are affected by the EU regulations</w:t>
      </w:r>
      <w:r w:rsidRPr="00F215A4">
        <w:rPr>
          <w:rFonts w:ascii="Arial" w:hAnsi="Arial" w:cs="Arial"/>
          <w:szCs w:val="24"/>
        </w:rPr>
        <w:t xml:space="preserve">. Given the relatively wide global use of </w:t>
      </w:r>
      <w:r>
        <w:rPr>
          <w:rFonts w:ascii="Arial" w:hAnsi="Arial" w:cs="Arial"/>
          <w:szCs w:val="24"/>
        </w:rPr>
        <w:t xml:space="preserve">the NZFMA’s </w:t>
      </w:r>
      <w:r w:rsidRPr="00F215A4">
        <w:rPr>
          <w:rFonts w:ascii="Arial" w:hAnsi="Arial" w:cs="Arial"/>
          <w:szCs w:val="24"/>
        </w:rPr>
        <w:t xml:space="preserve">closing rates for daily revaluations of international investment portfolios, in particular </w:t>
      </w:r>
      <w:r>
        <w:rPr>
          <w:rFonts w:ascii="Arial" w:hAnsi="Arial" w:cs="Arial"/>
          <w:szCs w:val="24"/>
        </w:rPr>
        <w:t>New Zealand’s</w:t>
      </w:r>
      <w:r w:rsidRPr="00F215A4">
        <w:rPr>
          <w:rFonts w:ascii="Arial" w:hAnsi="Arial" w:cs="Arial"/>
          <w:szCs w:val="24"/>
        </w:rPr>
        <w:t xml:space="preserve"> credit market closing prices, any restriction on their use would have a detrimental impact on the liquidity of our already illiquid credit markets. This would lead to increased costs of capital raising for local corporate and other financial entities.</w:t>
      </w:r>
    </w:p>
    <w:p w:rsidR="00220CE8" w:rsidRPr="009C7459" w:rsidRDefault="00220CE8" w:rsidP="00284187">
      <w:pPr>
        <w:spacing w:line="240" w:lineRule="auto"/>
        <w:rPr>
          <w:rFonts w:ascii="Arial" w:hAnsi="Arial" w:cs="Arial"/>
          <w:sz w:val="24"/>
          <w:szCs w:val="24"/>
        </w:rPr>
      </w:pPr>
    </w:p>
    <w:p w:rsidR="001E44E4" w:rsidRPr="0031606D" w:rsidRDefault="000A6A94" w:rsidP="001E44E4">
      <w:pPr>
        <w:pStyle w:val="CabStandard"/>
        <w:numPr>
          <w:ilvl w:val="0"/>
          <w:numId w:val="0"/>
        </w:numPr>
        <w:pBdr>
          <w:bottom w:val="single" w:sz="12" w:space="1" w:color="auto"/>
        </w:pBdr>
        <w:jc w:val="both"/>
        <w:rPr>
          <w:rFonts w:ascii="Arial" w:hAnsi="Arial" w:cs="Arial"/>
          <w:b/>
          <w:szCs w:val="24"/>
        </w:rPr>
      </w:pPr>
      <w:r>
        <w:rPr>
          <w:rFonts w:ascii="Arial" w:hAnsi="Arial" w:cs="Arial"/>
          <w:b/>
          <w:szCs w:val="24"/>
        </w:rPr>
        <w:br w:type="column"/>
      </w:r>
      <w:r w:rsidR="00E235E6" w:rsidRPr="0031606D">
        <w:rPr>
          <w:rFonts w:ascii="Arial" w:hAnsi="Arial" w:cs="Arial"/>
          <w:b/>
          <w:szCs w:val="24"/>
        </w:rPr>
        <w:lastRenderedPageBreak/>
        <w:t>Appendix Two</w:t>
      </w:r>
      <w:r w:rsidR="001E44E4" w:rsidRPr="0031606D">
        <w:rPr>
          <w:rFonts w:ascii="Arial" w:hAnsi="Arial" w:cs="Arial"/>
          <w:b/>
          <w:szCs w:val="24"/>
        </w:rPr>
        <w:t xml:space="preserve">: </w:t>
      </w:r>
      <w:r w:rsidR="006742C2">
        <w:rPr>
          <w:rFonts w:ascii="Arial" w:hAnsi="Arial" w:cs="Arial"/>
          <w:b/>
          <w:szCs w:val="24"/>
        </w:rPr>
        <w:t xml:space="preserve">Information on the </w:t>
      </w:r>
      <w:r w:rsidR="000E7924">
        <w:rPr>
          <w:rFonts w:ascii="Arial" w:hAnsi="Arial" w:cs="Arial"/>
          <w:b/>
          <w:szCs w:val="24"/>
        </w:rPr>
        <w:t>New Zealand</w:t>
      </w:r>
      <w:r w:rsidR="006742C2">
        <w:rPr>
          <w:rFonts w:ascii="Arial" w:hAnsi="Arial" w:cs="Arial"/>
          <w:b/>
          <w:szCs w:val="24"/>
        </w:rPr>
        <w:t xml:space="preserve"> Financial Markets Association</w:t>
      </w:r>
    </w:p>
    <w:p w:rsidR="006742C2" w:rsidRDefault="006742C2" w:rsidP="006742C2">
      <w:pPr>
        <w:pStyle w:val="CabStandard"/>
        <w:numPr>
          <w:ilvl w:val="0"/>
          <w:numId w:val="0"/>
        </w:numPr>
        <w:rPr>
          <w:rFonts w:ascii="Arial" w:hAnsi="Arial" w:cs="Arial"/>
          <w:szCs w:val="24"/>
        </w:rPr>
      </w:pPr>
      <w:r>
        <w:rPr>
          <w:rFonts w:ascii="Arial" w:hAnsi="Arial" w:cs="Arial"/>
          <w:szCs w:val="24"/>
        </w:rPr>
        <w:t xml:space="preserve">The </w:t>
      </w:r>
      <w:r w:rsidR="009F425D">
        <w:rPr>
          <w:rFonts w:ascii="Arial" w:hAnsi="Arial" w:cs="Arial"/>
          <w:szCs w:val="24"/>
        </w:rPr>
        <w:t>NZFMA</w:t>
      </w:r>
      <w:r w:rsidR="009F425D" w:rsidRPr="0090710E">
        <w:rPr>
          <w:rFonts w:ascii="Arial" w:hAnsi="Arial" w:cs="Arial"/>
          <w:szCs w:val="24"/>
        </w:rPr>
        <w:t xml:space="preserve"> </w:t>
      </w:r>
      <w:r w:rsidRPr="0090710E">
        <w:rPr>
          <w:rFonts w:ascii="Arial" w:hAnsi="Arial" w:cs="Arial"/>
          <w:szCs w:val="24"/>
        </w:rPr>
        <w:t>is a not-for-profit</w:t>
      </w:r>
      <w:r>
        <w:rPr>
          <w:rFonts w:ascii="Arial" w:hAnsi="Arial" w:cs="Arial"/>
          <w:szCs w:val="24"/>
        </w:rPr>
        <w:t>,</w:t>
      </w:r>
      <w:r w:rsidRPr="0090710E">
        <w:rPr>
          <w:rFonts w:ascii="Arial" w:hAnsi="Arial" w:cs="Arial"/>
          <w:szCs w:val="24"/>
        </w:rPr>
        <w:t xml:space="preserve"> incorporated society </w:t>
      </w:r>
      <w:r>
        <w:rPr>
          <w:rFonts w:ascii="Arial" w:hAnsi="Arial" w:cs="Arial"/>
          <w:szCs w:val="24"/>
        </w:rPr>
        <w:t>with the following membership:</w:t>
      </w:r>
    </w:p>
    <w:p w:rsidR="006742C2" w:rsidRPr="005B6BF3" w:rsidRDefault="006742C2" w:rsidP="006B7D8E">
      <w:pPr>
        <w:pStyle w:val="CabStandard"/>
        <w:numPr>
          <w:ilvl w:val="0"/>
          <w:numId w:val="4"/>
        </w:numPr>
        <w:spacing w:after="120"/>
        <w:ind w:left="425" w:hanging="357"/>
        <w:rPr>
          <w:rFonts w:ascii="Arial" w:hAnsi="Arial" w:cs="Arial"/>
          <w:szCs w:val="24"/>
        </w:rPr>
      </w:pPr>
      <w:r w:rsidRPr="005B6BF3">
        <w:rPr>
          <w:rFonts w:ascii="Arial" w:hAnsi="Arial" w:cs="Arial"/>
          <w:b/>
          <w:i/>
          <w:szCs w:val="24"/>
        </w:rPr>
        <w:t>Financial markets members</w:t>
      </w:r>
      <w:r w:rsidRPr="005B6BF3">
        <w:rPr>
          <w:rFonts w:ascii="Arial" w:hAnsi="Arial" w:cs="Arial"/>
          <w:szCs w:val="24"/>
        </w:rPr>
        <w:t xml:space="preserve">: </w:t>
      </w:r>
      <w:r w:rsidR="002E6D4B">
        <w:rPr>
          <w:rFonts w:ascii="Arial" w:hAnsi="Arial" w:cs="Arial"/>
          <w:szCs w:val="24"/>
        </w:rPr>
        <w:t>ANZ</w:t>
      </w:r>
      <w:r w:rsidRPr="005B6BF3">
        <w:rPr>
          <w:rFonts w:ascii="Arial" w:hAnsi="Arial" w:cs="Arial"/>
          <w:szCs w:val="24"/>
        </w:rPr>
        <w:t xml:space="preserve">, ASB Bank, Bank of New Zealand, Westpac, </w:t>
      </w:r>
      <w:proofErr w:type="spellStart"/>
      <w:r w:rsidRPr="005B6BF3">
        <w:rPr>
          <w:rFonts w:ascii="Arial" w:hAnsi="Arial" w:cs="Arial"/>
          <w:szCs w:val="24"/>
        </w:rPr>
        <w:t>Kiwibank</w:t>
      </w:r>
      <w:proofErr w:type="spellEnd"/>
      <w:r w:rsidRPr="005B6BF3">
        <w:rPr>
          <w:rFonts w:ascii="Arial" w:hAnsi="Arial" w:cs="Arial"/>
          <w:szCs w:val="24"/>
        </w:rPr>
        <w:t xml:space="preserve">, Hong Kong Shanghai Banking Corporation, China Construction Bank (New Zealand) Ltd, </w:t>
      </w:r>
      <w:proofErr w:type="gramStart"/>
      <w:r w:rsidRPr="005B6BF3">
        <w:rPr>
          <w:rFonts w:ascii="Arial" w:hAnsi="Arial" w:cs="Arial"/>
          <w:szCs w:val="24"/>
        </w:rPr>
        <w:t>Citibank</w:t>
      </w:r>
      <w:proofErr w:type="gramEnd"/>
      <w:r>
        <w:rPr>
          <w:rFonts w:ascii="Arial" w:hAnsi="Arial" w:cs="Arial"/>
          <w:szCs w:val="24"/>
        </w:rPr>
        <w:t>.</w:t>
      </w:r>
    </w:p>
    <w:p w:rsidR="006742C2" w:rsidRPr="005B6BF3" w:rsidRDefault="006742C2" w:rsidP="006B7D8E">
      <w:pPr>
        <w:pStyle w:val="CabStandard"/>
        <w:numPr>
          <w:ilvl w:val="0"/>
          <w:numId w:val="4"/>
        </w:numPr>
        <w:spacing w:after="120"/>
        <w:ind w:left="425" w:hanging="357"/>
        <w:rPr>
          <w:rFonts w:ascii="Arial" w:hAnsi="Arial" w:cs="Arial"/>
          <w:szCs w:val="24"/>
        </w:rPr>
      </w:pPr>
      <w:r w:rsidRPr="005B6BF3">
        <w:rPr>
          <w:rFonts w:ascii="Arial" w:hAnsi="Arial" w:cs="Arial"/>
          <w:b/>
          <w:i/>
          <w:szCs w:val="24"/>
        </w:rPr>
        <w:t xml:space="preserve">Affiliate </w:t>
      </w:r>
      <w:r>
        <w:rPr>
          <w:rFonts w:ascii="Arial" w:hAnsi="Arial" w:cs="Arial"/>
          <w:b/>
          <w:i/>
          <w:szCs w:val="24"/>
        </w:rPr>
        <w:t>m</w:t>
      </w:r>
      <w:r w:rsidRPr="005B6BF3">
        <w:rPr>
          <w:rFonts w:ascii="Arial" w:hAnsi="Arial" w:cs="Arial"/>
          <w:b/>
          <w:i/>
          <w:szCs w:val="24"/>
        </w:rPr>
        <w:t>embers</w:t>
      </w:r>
      <w:r w:rsidRPr="005B6BF3">
        <w:rPr>
          <w:rFonts w:ascii="Arial" w:hAnsi="Arial" w:cs="Arial"/>
          <w:szCs w:val="24"/>
        </w:rPr>
        <w:t xml:space="preserve">: Reserve Bank of New Zealand, </w:t>
      </w:r>
      <w:r w:rsidR="000E7924">
        <w:rPr>
          <w:rFonts w:ascii="Arial" w:hAnsi="Arial" w:cs="Arial"/>
          <w:szCs w:val="24"/>
        </w:rPr>
        <w:t>New Zealand</w:t>
      </w:r>
      <w:r w:rsidRPr="005B6BF3">
        <w:rPr>
          <w:rFonts w:ascii="Arial" w:hAnsi="Arial" w:cs="Arial"/>
          <w:szCs w:val="24"/>
        </w:rPr>
        <w:t xml:space="preserve"> Debt Management Office</w:t>
      </w:r>
      <w:r>
        <w:rPr>
          <w:rFonts w:ascii="Arial" w:hAnsi="Arial" w:cs="Arial"/>
          <w:szCs w:val="24"/>
        </w:rPr>
        <w:t>.</w:t>
      </w:r>
    </w:p>
    <w:p w:rsidR="006742C2" w:rsidRPr="005B6BF3" w:rsidRDefault="006742C2" w:rsidP="006B7D8E">
      <w:pPr>
        <w:pStyle w:val="CabStandard"/>
        <w:numPr>
          <w:ilvl w:val="0"/>
          <w:numId w:val="4"/>
        </w:numPr>
        <w:spacing w:after="120"/>
        <w:ind w:left="425" w:hanging="357"/>
        <w:rPr>
          <w:rFonts w:ascii="Arial" w:hAnsi="Arial" w:cs="Arial"/>
          <w:szCs w:val="24"/>
        </w:rPr>
      </w:pPr>
      <w:r w:rsidRPr="005B6BF3">
        <w:rPr>
          <w:rFonts w:ascii="Arial" w:hAnsi="Arial" w:cs="Arial"/>
          <w:b/>
          <w:i/>
          <w:szCs w:val="24"/>
        </w:rPr>
        <w:t>International members</w:t>
      </w:r>
      <w:r w:rsidRPr="005B6BF3">
        <w:rPr>
          <w:rFonts w:ascii="Arial" w:hAnsi="Arial" w:cs="Arial"/>
          <w:szCs w:val="24"/>
        </w:rPr>
        <w:t>: JP Morgan Chase Bank N.A., Deutsche Bank AG, UBS AG (Australia Branch)</w:t>
      </w:r>
      <w:r>
        <w:rPr>
          <w:rFonts w:ascii="Arial" w:hAnsi="Arial" w:cs="Arial"/>
          <w:szCs w:val="24"/>
        </w:rPr>
        <w:t>.</w:t>
      </w:r>
    </w:p>
    <w:p w:rsidR="006742C2" w:rsidRPr="005B6BF3" w:rsidRDefault="006742C2" w:rsidP="006B7D8E">
      <w:pPr>
        <w:pStyle w:val="CabStandard"/>
        <w:numPr>
          <w:ilvl w:val="0"/>
          <w:numId w:val="4"/>
        </w:numPr>
        <w:spacing w:after="120"/>
        <w:ind w:left="425" w:hanging="357"/>
        <w:rPr>
          <w:rFonts w:ascii="Arial" w:hAnsi="Arial" w:cs="Arial"/>
          <w:szCs w:val="24"/>
        </w:rPr>
      </w:pPr>
      <w:r w:rsidRPr="005B6BF3">
        <w:rPr>
          <w:rFonts w:ascii="Arial" w:hAnsi="Arial" w:cs="Arial"/>
          <w:b/>
          <w:i/>
          <w:szCs w:val="24"/>
        </w:rPr>
        <w:t>Financial intermediary members</w:t>
      </w:r>
      <w:r w:rsidRPr="005B6BF3">
        <w:rPr>
          <w:rFonts w:ascii="Arial" w:hAnsi="Arial" w:cs="Arial"/>
          <w:szCs w:val="24"/>
        </w:rPr>
        <w:t xml:space="preserve">: </w:t>
      </w:r>
      <w:proofErr w:type="spellStart"/>
      <w:r w:rsidRPr="005B6BF3">
        <w:rPr>
          <w:rFonts w:ascii="Arial" w:hAnsi="Arial" w:cs="Arial"/>
          <w:szCs w:val="24"/>
        </w:rPr>
        <w:t>HiFX</w:t>
      </w:r>
      <w:proofErr w:type="spellEnd"/>
      <w:r w:rsidRPr="005B6BF3">
        <w:rPr>
          <w:rFonts w:ascii="Arial" w:hAnsi="Arial" w:cs="Arial"/>
          <w:szCs w:val="24"/>
        </w:rPr>
        <w:t xml:space="preserve"> Ltd, ICAP New Zealand Ltd, OM Financial Ltd</w:t>
      </w:r>
      <w:r>
        <w:rPr>
          <w:rFonts w:ascii="Arial" w:hAnsi="Arial" w:cs="Arial"/>
          <w:szCs w:val="24"/>
        </w:rPr>
        <w:t>.</w:t>
      </w:r>
    </w:p>
    <w:p w:rsidR="006742C2" w:rsidRDefault="006742C2" w:rsidP="006B7D8E">
      <w:pPr>
        <w:pStyle w:val="CabStandard"/>
        <w:numPr>
          <w:ilvl w:val="0"/>
          <w:numId w:val="4"/>
        </w:numPr>
        <w:ind w:left="426"/>
        <w:rPr>
          <w:rFonts w:ascii="Arial" w:hAnsi="Arial" w:cs="Arial"/>
          <w:szCs w:val="24"/>
        </w:rPr>
      </w:pPr>
      <w:r w:rsidRPr="005B6BF3">
        <w:rPr>
          <w:rFonts w:ascii="Arial" w:hAnsi="Arial" w:cs="Arial"/>
          <w:b/>
          <w:i/>
          <w:szCs w:val="24"/>
        </w:rPr>
        <w:t xml:space="preserve">Partner </w:t>
      </w:r>
      <w:r>
        <w:rPr>
          <w:rFonts w:ascii="Arial" w:hAnsi="Arial" w:cs="Arial"/>
          <w:b/>
          <w:i/>
          <w:szCs w:val="24"/>
        </w:rPr>
        <w:t>m</w:t>
      </w:r>
      <w:r w:rsidRPr="005B6BF3">
        <w:rPr>
          <w:rFonts w:ascii="Arial" w:hAnsi="Arial" w:cs="Arial"/>
          <w:b/>
          <w:i/>
          <w:szCs w:val="24"/>
        </w:rPr>
        <w:t>embers</w:t>
      </w:r>
      <w:r w:rsidRPr="005B6BF3">
        <w:rPr>
          <w:rFonts w:ascii="Arial" w:hAnsi="Arial" w:cs="Arial"/>
          <w:szCs w:val="24"/>
        </w:rPr>
        <w:t>: Buddle Findlay, CFG Global, Interactive Data (Australia) Pty Ltd</w:t>
      </w:r>
      <w:r>
        <w:rPr>
          <w:rFonts w:ascii="Arial" w:hAnsi="Arial" w:cs="Arial"/>
          <w:szCs w:val="24"/>
        </w:rPr>
        <w:t>.</w:t>
      </w:r>
    </w:p>
    <w:p w:rsidR="006742C2" w:rsidRPr="005B6BF3" w:rsidRDefault="006742C2" w:rsidP="006742C2">
      <w:pPr>
        <w:pStyle w:val="CabStandard"/>
        <w:numPr>
          <w:ilvl w:val="0"/>
          <w:numId w:val="0"/>
        </w:numPr>
        <w:rPr>
          <w:rFonts w:ascii="Arial" w:hAnsi="Arial" w:cs="Arial"/>
          <w:szCs w:val="24"/>
        </w:rPr>
      </w:pPr>
      <w:r w:rsidRPr="005B6BF3">
        <w:rPr>
          <w:rFonts w:ascii="Arial" w:hAnsi="Arial" w:cs="Arial"/>
          <w:szCs w:val="24"/>
        </w:rPr>
        <w:t xml:space="preserve">The </w:t>
      </w:r>
      <w:r w:rsidR="009F425D">
        <w:rPr>
          <w:rFonts w:ascii="Arial" w:hAnsi="Arial" w:cs="Arial"/>
          <w:szCs w:val="24"/>
        </w:rPr>
        <w:t xml:space="preserve">NZFMA </w:t>
      </w:r>
      <w:r>
        <w:rPr>
          <w:rFonts w:ascii="Arial" w:hAnsi="Arial" w:cs="Arial"/>
          <w:szCs w:val="24"/>
        </w:rPr>
        <w:t>maintains ‘</w:t>
      </w:r>
      <w:r w:rsidRPr="00E66F18">
        <w:rPr>
          <w:rFonts w:ascii="Arial" w:hAnsi="Arial" w:cs="Arial"/>
          <w:i/>
          <w:szCs w:val="24"/>
        </w:rPr>
        <w:t>Reference Rate Operating Rules/Guidelines &amp; Principles</w:t>
      </w:r>
      <w:r>
        <w:rPr>
          <w:rFonts w:ascii="Arial" w:hAnsi="Arial" w:cs="Arial"/>
          <w:szCs w:val="24"/>
        </w:rPr>
        <w:t>’</w:t>
      </w:r>
      <w:r w:rsidRPr="005B6BF3">
        <w:rPr>
          <w:rFonts w:ascii="Arial" w:hAnsi="Arial" w:cs="Arial"/>
          <w:szCs w:val="24"/>
        </w:rPr>
        <w:t xml:space="preserve"> for </w:t>
      </w:r>
      <w:r>
        <w:rPr>
          <w:rFonts w:ascii="Arial" w:hAnsi="Arial" w:cs="Arial"/>
          <w:szCs w:val="24"/>
        </w:rPr>
        <w:t xml:space="preserve">the following financial </w:t>
      </w:r>
      <w:r w:rsidRPr="005B6BF3">
        <w:rPr>
          <w:rFonts w:ascii="Arial" w:hAnsi="Arial" w:cs="Arial"/>
          <w:szCs w:val="24"/>
        </w:rPr>
        <w:t>market</w:t>
      </w:r>
      <w:r>
        <w:rPr>
          <w:rFonts w:ascii="Arial" w:hAnsi="Arial" w:cs="Arial"/>
          <w:szCs w:val="24"/>
        </w:rPr>
        <w:t>s</w:t>
      </w:r>
      <w:r w:rsidRPr="005B6BF3">
        <w:rPr>
          <w:rFonts w:ascii="Arial" w:hAnsi="Arial" w:cs="Arial"/>
          <w:szCs w:val="24"/>
        </w:rPr>
        <w:t xml:space="preserve"> to ensure </w:t>
      </w:r>
      <w:r>
        <w:rPr>
          <w:rFonts w:ascii="Arial" w:hAnsi="Arial" w:cs="Arial"/>
          <w:szCs w:val="24"/>
        </w:rPr>
        <w:t xml:space="preserve">an </w:t>
      </w:r>
      <w:r w:rsidRPr="005B6BF3">
        <w:rPr>
          <w:rFonts w:ascii="Arial" w:hAnsi="Arial" w:cs="Arial"/>
          <w:szCs w:val="24"/>
        </w:rPr>
        <w:t xml:space="preserve">accurate set of reference rates that make up </w:t>
      </w:r>
      <w:r>
        <w:rPr>
          <w:rFonts w:ascii="Arial" w:hAnsi="Arial" w:cs="Arial"/>
          <w:szCs w:val="24"/>
        </w:rPr>
        <w:t xml:space="preserve">what the </w:t>
      </w:r>
      <w:r w:rsidR="009F425D">
        <w:rPr>
          <w:rFonts w:ascii="Arial" w:hAnsi="Arial" w:cs="Arial"/>
          <w:szCs w:val="24"/>
        </w:rPr>
        <w:t xml:space="preserve">NZFMA </w:t>
      </w:r>
      <w:r>
        <w:rPr>
          <w:rFonts w:ascii="Arial" w:hAnsi="Arial" w:cs="Arial"/>
          <w:szCs w:val="24"/>
        </w:rPr>
        <w:t xml:space="preserve">refers to as </w:t>
      </w:r>
      <w:r w:rsidRPr="005B6BF3">
        <w:rPr>
          <w:rFonts w:ascii="Arial" w:hAnsi="Arial" w:cs="Arial"/>
          <w:szCs w:val="24"/>
        </w:rPr>
        <w:t xml:space="preserve">the </w:t>
      </w:r>
      <w:r>
        <w:rPr>
          <w:rFonts w:ascii="Arial" w:hAnsi="Arial" w:cs="Arial"/>
          <w:szCs w:val="24"/>
        </w:rPr>
        <w:t>‘</w:t>
      </w:r>
      <w:proofErr w:type="spellStart"/>
      <w:r w:rsidR="00B369D5">
        <w:rPr>
          <w:rFonts w:ascii="Arial" w:hAnsi="Arial" w:cs="Arial"/>
          <w:i/>
          <w:szCs w:val="24"/>
        </w:rPr>
        <w:t>NZ</w:t>
      </w:r>
      <w:r w:rsidRPr="00E66F18">
        <w:rPr>
          <w:rFonts w:ascii="Arial" w:hAnsi="Arial" w:cs="Arial"/>
          <w:i/>
          <w:szCs w:val="24"/>
        </w:rPr>
        <w:t>data</w:t>
      </w:r>
      <w:proofErr w:type="spellEnd"/>
      <w:r w:rsidRPr="00E66F18">
        <w:rPr>
          <w:rFonts w:ascii="Arial" w:hAnsi="Arial" w:cs="Arial"/>
          <w:i/>
          <w:szCs w:val="24"/>
        </w:rPr>
        <w:t xml:space="preserve"> Service</w:t>
      </w:r>
      <w:r>
        <w:rPr>
          <w:rFonts w:ascii="Arial" w:hAnsi="Arial" w:cs="Arial"/>
          <w:szCs w:val="24"/>
        </w:rPr>
        <w:t>’</w:t>
      </w:r>
      <w:r w:rsidRPr="005B6BF3">
        <w:rPr>
          <w:rFonts w:ascii="Arial" w:hAnsi="Arial" w:cs="Arial"/>
          <w:szCs w:val="24"/>
        </w:rPr>
        <w:t>.</w:t>
      </w:r>
    </w:p>
    <w:p w:rsidR="006742C2" w:rsidRPr="005B6BF3" w:rsidRDefault="000E7924" w:rsidP="006B7D8E">
      <w:pPr>
        <w:pStyle w:val="CabStandard"/>
        <w:numPr>
          <w:ilvl w:val="0"/>
          <w:numId w:val="4"/>
        </w:numPr>
        <w:spacing w:after="120"/>
        <w:ind w:left="425" w:hanging="357"/>
        <w:rPr>
          <w:rFonts w:ascii="Arial" w:hAnsi="Arial" w:cs="Arial"/>
          <w:szCs w:val="24"/>
        </w:rPr>
      </w:pPr>
      <w:r>
        <w:rPr>
          <w:rFonts w:ascii="Arial" w:hAnsi="Arial" w:cs="Arial"/>
          <w:szCs w:val="24"/>
        </w:rPr>
        <w:t>New Zealand</w:t>
      </w:r>
      <w:r w:rsidR="006A3A18">
        <w:rPr>
          <w:rFonts w:ascii="Arial" w:hAnsi="Arial" w:cs="Arial"/>
          <w:szCs w:val="24"/>
        </w:rPr>
        <w:t xml:space="preserve"> Bank Bill Reference Rate (BKBM)</w:t>
      </w:r>
    </w:p>
    <w:p w:rsidR="006742C2" w:rsidRPr="005B6BF3" w:rsidRDefault="000E7924" w:rsidP="006B7D8E">
      <w:pPr>
        <w:pStyle w:val="CabStandard"/>
        <w:numPr>
          <w:ilvl w:val="0"/>
          <w:numId w:val="4"/>
        </w:numPr>
        <w:spacing w:after="120"/>
        <w:ind w:left="425" w:hanging="357"/>
        <w:rPr>
          <w:rFonts w:ascii="Arial" w:hAnsi="Arial" w:cs="Arial"/>
          <w:szCs w:val="24"/>
        </w:rPr>
      </w:pPr>
      <w:r>
        <w:rPr>
          <w:rFonts w:ascii="Arial" w:hAnsi="Arial" w:cs="Arial"/>
          <w:szCs w:val="24"/>
        </w:rPr>
        <w:t>New Zealand</w:t>
      </w:r>
      <w:r w:rsidR="006742C2" w:rsidRPr="005B6BF3">
        <w:rPr>
          <w:rFonts w:ascii="Arial" w:hAnsi="Arial" w:cs="Arial"/>
          <w:szCs w:val="24"/>
        </w:rPr>
        <w:t xml:space="preserve"> Swaps Close</w:t>
      </w:r>
    </w:p>
    <w:p w:rsidR="006742C2" w:rsidRPr="005B6BF3" w:rsidRDefault="000E7924" w:rsidP="006B7D8E">
      <w:pPr>
        <w:pStyle w:val="CabStandard"/>
        <w:numPr>
          <w:ilvl w:val="0"/>
          <w:numId w:val="4"/>
        </w:numPr>
        <w:spacing w:after="120"/>
        <w:ind w:left="425" w:hanging="357"/>
        <w:rPr>
          <w:rFonts w:ascii="Arial" w:hAnsi="Arial" w:cs="Arial"/>
          <w:szCs w:val="24"/>
        </w:rPr>
      </w:pPr>
      <w:r>
        <w:rPr>
          <w:rFonts w:ascii="Arial" w:hAnsi="Arial" w:cs="Arial"/>
          <w:szCs w:val="24"/>
        </w:rPr>
        <w:t>New Zealand</w:t>
      </w:r>
      <w:r w:rsidR="006742C2" w:rsidRPr="005B6BF3">
        <w:rPr>
          <w:rFonts w:ascii="Arial" w:hAnsi="Arial" w:cs="Arial"/>
          <w:szCs w:val="24"/>
        </w:rPr>
        <w:t xml:space="preserve"> Government Bond Close</w:t>
      </w:r>
    </w:p>
    <w:p w:rsidR="006742C2" w:rsidRPr="005B6BF3" w:rsidRDefault="000E7924" w:rsidP="006B7D8E">
      <w:pPr>
        <w:pStyle w:val="CabStandard"/>
        <w:numPr>
          <w:ilvl w:val="0"/>
          <w:numId w:val="4"/>
        </w:numPr>
        <w:spacing w:after="120"/>
        <w:ind w:left="425" w:hanging="357"/>
        <w:rPr>
          <w:rFonts w:ascii="Arial" w:hAnsi="Arial" w:cs="Arial"/>
          <w:szCs w:val="24"/>
        </w:rPr>
      </w:pPr>
      <w:r>
        <w:rPr>
          <w:rFonts w:ascii="Arial" w:hAnsi="Arial" w:cs="Arial"/>
          <w:szCs w:val="24"/>
        </w:rPr>
        <w:t>New Zealand</w:t>
      </w:r>
      <w:r w:rsidR="006742C2" w:rsidRPr="005B6BF3">
        <w:rPr>
          <w:rFonts w:ascii="Arial" w:hAnsi="Arial" w:cs="Arial"/>
          <w:szCs w:val="24"/>
        </w:rPr>
        <w:t xml:space="preserve"> </w:t>
      </w:r>
      <w:r w:rsidR="006A3A18">
        <w:rPr>
          <w:rFonts w:ascii="Arial" w:hAnsi="Arial" w:cs="Arial"/>
          <w:szCs w:val="24"/>
        </w:rPr>
        <w:t>Overnight Indexed Swaps (OIS)</w:t>
      </w:r>
      <w:r w:rsidR="006742C2" w:rsidRPr="005B6BF3">
        <w:rPr>
          <w:rFonts w:ascii="Arial" w:hAnsi="Arial" w:cs="Arial"/>
          <w:szCs w:val="24"/>
        </w:rPr>
        <w:t xml:space="preserve"> Close</w:t>
      </w:r>
    </w:p>
    <w:p w:rsidR="006742C2" w:rsidRPr="005B6BF3" w:rsidRDefault="000E7924" w:rsidP="006B7D8E">
      <w:pPr>
        <w:pStyle w:val="CabStandard"/>
        <w:numPr>
          <w:ilvl w:val="0"/>
          <w:numId w:val="4"/>
        </w:numPr>
        <w:spacing w:after="120"/>
        <w:ind w:left="425" w:hanging="357"/>
        <w:rPr>
          <w:rFonts w:ascii="Arial" w:hAnsi="Arial" w:cs="Arial"/>
          <w:szCs w:val="24"/>
        </w:rPr>
      </w:pPr>
      <w:r>
        <w:rPr>
          <w:rFonts w:ascii="Arial" w:hAnsi="Arial" w:cs="Arial"/>
          <w:szCs w:val="24"/>
        </w:rPr>
        <w:t>New Zealand</w:t>
      </w:r>
      <w:r w:rsidR="006742C2" w:rsidRPr="005B6BF3">
        <w:rPr>
          <w:rFonts w:ascii="Arial" w:hAnsi="Arial" w:cs="Arial"/>
          <w:szCs w:val="24"/>
        </w:rPr>
        <w:t xml:space="preserve"> Bills/LIBOR Close</w:t>
      </w:r>
    </w:p>
    <w:p w:rsidR="006A3A18" w:rsidRPr="005B6BF3" w:rsidRDefault="006A3A18" w:rsidP="006A3A18">
      <w:pPr>
        <w:pStyle w:val="CabStandard"/>
        <w:numPr>
          <w:ilvl w:val="0"/>
          <w:numId w:val="4"/>
        </w:numPr>
        <w:spacing w:after="120"/>
        <w:ind w:left="425" w:hanging="357"/>
        <w:rPr>
          <w:rFonts w:ascii="Arial" w:hAnsi="Arial" w:cs="Arial"/>
          <w:szCs w:val="24"/>
        </w:rPr>
      </w:pPr>
      <w:r>
        <w:rPr>
          <w:rFonts w:ascii="Arial" w:hAnsi="Arial" w:cs="Arial"/>
          <w:szCs w:val="24"/>
        </w:rPr>
        <w:t>New Zealand</w:t>
      </w:r>
      <w:r w:rsidRPr="005B6BF3">
        <w:rPr>
          <w:rFonts w:ascii="Arial" w:hAnsi="Arial" w:cs="Arial"/>
          <w:szCs w:val="24"/>
        </w:rPr>
        <w:t xml:space="preserve"> Credit Market Pricing Service </w:t>
      </w:r>
    </w:p>
    <w:p w:rsidR="006742C2" w:rsidRDefault="000E7924" w:rsidP="006B7D8E">
      <w:pPr>
        <w:pStyle w:val="CabStandard"/>
        <w:numPr>
          <w:ilvl w:val="0"/>
          <w:numId w:val="4"/>
        </w:numPr>
        <w:ind w:left="426"/>
        <w:rPr>
          <w:rFonts w:ascii="Arial" w:hAnsi="Arial" w:cs="Arial"/>
          <w:szCs w:val="24"/>
        </w:rPr>
      </w:pPr>
      <w:r>
        <w:rPr>
          <w:rFonts w:ascii="Arial" w:hAnsi="Arial" w:cs="Arial"/>
          <w:szCs w:val="24"/>
        </w:rPr>
        <w:lastRenderedPageBreak/>
        <w:t>New Zealand</w:t>
      </w:r>
      <w:r w:rsidR="006742C2" w:rsidRPr="005B6BF3">
        <w:rPr>
          <w:rFonts w:ascii="Arial" w:hAnsi="Arial" w:cs="Arial"/>
          <w:szCs w:val="24"/>
        </w:rPr>
        <w:t xml:space="preserve"> Trade Weighted Index</w:t>
      </w:r>
      <w:r w:rsidR="006742C2">
        <w:rPr>
          <w:rFonts w:ascii="Arial" w:hAnsi="Arial" w:cs="Arial"/>
          <w:szCs w:val="24"/>
        </w:rPr>
        <w:t>.</w:t>
      </w:r>
    </w:p>
    <w:p w:rsidR="006742C2" w:rsidRDefault="006742C2" w:rsidP="006742C2">
      <w:pPr>
        <w:pStyle w:val="CabStandard"/>
        <w:numPr>
          <w:ilvl w:val="0"/>
          <w:numId w:val="0"/>
        </w:numPr>
        <w:rPr>
          <w:rFonts w:ascii="Arial" w:hAnsi="Arial" w:cs="Arial"/>
          <w:szCs w:val="24"/>
        </w:rPr>
      </w:pPr>
      <w:r>
        <w:rPr>
          <w:rFonts w:ascii="Arial" w:hAnsi="Arial" w:cs="Arial"/>
          <w:szCs w:val="24"/>
        </w:rPr>
        <w:t>I</w:t>
      </w:r>
      <w:r w:rsidRPr="005B6BF3">
        <w:rPr>
          <w:rFonts w:ascii="Arial" w:hAnsi="Arial" w:cs="Arial"/>
          <w:szCs w:val="24"/>
        </w:rPr>
        <w:t>n 2015</w:t>
      </w:r>
      <w:r>
        <w:rPr>
          <w:rFonts w:ascii="Arial" w:hAnsi="Arial" w:cs="Arial"/>
          <w:szCs w:val="24"/>
        </w:rPr>
        <w:t xml:space="preserve">, the </w:t>
      </w:r>
      <w:r w:rsidR="00B24980">
        <w:rPr>
          <w:rFonts w:ascii="Arial" w:hAnsi="Arial" w:cs="Arial"/>
          <w:szCs w:val="24"/>
        </w:rPr>
        <w:t xml:space="preserve">NZFMA </w:t>
      </w:r>
      <w:r>
        <w:rPr>
          <w:rFonts w:ascii="Arial" w:hAnsi="Arial" w:cs="Arial"/>
          <w:szCs w:val="24"/>
        </w:rPr>
        <w:t>established a</w:t>
      </w:r>
      <w:r w:rsidRPr="005B6BF3">
        <w:rPr>
          <w:rFonts w:ascii="Arial" w:hAnsi="Arial" w:cs="Arial"/>
          <w:szCs w:val="24"/>
        </w:rPr>
        <w:t xml:space="preserve"> Benchmark Oversight Committee to oversee the capture, calculation and publishing methodology of the </w:t>
      </w:r>
      <w:r w:rsidR="000E7924">
        <w:rPr>
          <w:rFonts w:ascii="Arial" w:hAnsi="Arial" w:cs="Arial"/>
          <w:szCs w:val="24"/>
        </w:rPr>
        <w:t>New Zealand</w:t>
      </w:r>
      <w:r w:rsidRPr="005B6BF3">
        <w:rPr>
          <w:rFonts w:ascii="Arial" w:hAnsi="Arial" w:cs="Arial"/>
          <w:szCs w:val="24"/>
        </w:rPr>
        <w:t xml:space="preserve"> reference rate and indicative closing rates</w:t>
      </w:r>
      <w:r>
        <w:rPr>
          <w:rFonts w:ascii="Arial" w:hAnsi="Arial" w:cs="Arial"/>
          <w:szCs w:val="24"/>
        </w:rPr>
        <w:t xml:space="preserve">, which are </w:t>
      </w:r>
      <w:r w:rsidRPr="005B6BF3">
        <w:rPr>
          <w:rFonts w:ascii="Arial" w:hAnsi="Arial" w:cs="Arial"/>
          <w:szCs w:val="24"/>
        </w:rPr>
        <w:t xml:space="preserve">calculated and published via the </w:t>
      </w:r>
      <w:proofErr w:type="spellStart"/>
      <w:r w:rsidR="00B369D5">
        <w:rPr>
          <w:rFonts w:ascii="Arial" w:hAnsi="Arial" w:cs="Arial"/>
          <w:szCs w:val="24"/>
        </w:rPr>
        <w:t>NZ</w:t>
      </w:r>
      <w:r w:rsidRPr="005B6BF3">
        <w:rPr>
          <w:rFonts w:ascii="Arial" w:hAnsi="Arial" w:cs="Arial"/>
          <w:szCs w:val="24"/>
        </w:rPr>
        <w:t>data</w:t>
      </w:r>
      <w:proofErr w:type="spellEnd"/>
      <w:r w:rsidRPr="005B6BF3">
        <w:rPr>
          <w:rFonts w:ascii="Arial" w:hAnsi="Arial" w:cs="Arial"/>
          <w:szCs w:val="24"/>
        </w:rPr>
        <w:t xml:space="preserve"> Service.</w:t>
      </w:r>
    </w:p>
    <w:p w:rsidR="006742C2" w:rsidRPr="005B6BF3" w:rsidRDefault="006742C2" w:rsidP="006742C2">
      <w:pPr>
        <w:pStyle w:val="CabStandard"/>
        <w:numPr>
          <w:ilvl w:val="0"/>
          <w:numId w:val="0"/>
        </w:numPr>
        <w:rPr>
          <w:rFonts w:ascii="Arial" w:hAnsi="Arial" w:cs="Arial"/>
          <w:szCs w:val="24"/>
        </w:rPr>
      </w:pPr>
      <w:r>
        <w:rPr>
          <w:rFonts w:ascii="Arial" w:hAnsi="Arial" w:cs="Arial"/>
          <w:szCs w:val="24"/>
        </w:rPr>
        <w:t>T</w:t>
      </w:r>
      <w:r w:rsidRPr="005B6BF3">
        <w:rPr>
          <w:rFonts w:ascii="Arial" w:hAnsi="Arial" w:cs="Arial"/>
          <w:szCs w:val="24"/>
        </w:rPr>
        <w:t>his committee will review and challenge all aspects of the benchmark determination process appropriate to the benchmark in question and provide effective oversight for the</w:t>
      </w:r>
      <w:r>
        <w:rPr>
          <w:rFonts w:ascii="Arial" w:hAnsi="Arial" w:cs="Arial"/>
          <w:szCs w:val="24"/>
        </w:rPr>
        <w:t xml:space="preserve"> </w:t>
      </w:r>
      <w:r w:rsidR="0068536B">
        <w:rPr>
          <w:rFonts w:ascii="Arial" w:hAnsi="Arial" w:cs="Arial"/>
          <w:szCs w:val="24"/>
        </w:rPr>
        <w:t xml:space="preserve">NZFMA </w:t>
      </w:r>
      <w:r>
        <w:rPr>
          <w:rFonts w:ascii="Arial" w:hAnsi="Arial" w:cs="Arial"/>
          <w:szCs w:val="24"/>
        </w:rPr>
        <w:t xml:space="preserve">as </w:t>
      </w:r>
      <w:r w:rsidRPr="005B6BF3">
        <w:rPr>
          <w:rFonts w:ascii="Arial" w:hAnsi="Arial" w:cs="Arial"/>
          <w:szCs w:val="24"/>
        </w:rPr>
        <w:t>benchmark administrator. This includes consideration of the features and intended, expected or known usage of the benchmarks and the materiality of existing or potential conflicts of interest identified.</w:t>
      </w:r>
    </w:p>
    <w:p w:rsidR="006742C2" w:rsidRDefault="006742C2" w:rsidP="006742C2">
      <w:pPr>
        <w:pStyle w:val="CabStandard"/>
        <w:numPr>
          <w:ilvl w:val="0"/>
          <w:numId w:val="0"/>
        </w:numPr>
        <w:rPr>
          <w:rFonts w:ascii="Arial" w:hAnsi="Arial" w:cs="Arial"/>
          <w:szCs w:val="24"/>
        </w:rPr>
      </w:pPr>
      <w:r w:rsidRPr="005B6BF3">
        <w:rPr>
          <w:rFonts w:ascii="Arial" w:hAnsi="Arial" w:cs="Arial"/>
          <w:szCs w:val="24"/>
        </w:rPr>
        <w:t>The committee includes representation from benchmark submitters, benchmark users</w:t>
      </w:r>
      <w:r w:rsidR="00A3323F">
        <w:rPr>
          <w:rFonts w:ascii="Arial" w:hAnsi="Arial" w:cs="Arial"/>
          <w:szCs w:val="24"/>
        </w:rPr>
        <w:t xml:space="preserve"> and </w:t>
      </w:r>
      <w:r w:rsidRPr="005B6BF3">
        <w:rPr>
          <w:rFonts w:ascii="Arial" w:hAnsi="Arial" w:cs="Arial"/>
          <w:szCs w:val="24"/>
        </w:rPr>
        <w:t>independent industry experts</w:t>
      </w:r>
      <w:r w:rsidR="00A3323F">
        <w:rPr>
          <w:rFonts w:ascii="Arial" w:hAnsi="Arial" w:cs="Arial"/>
          <w:szCs w:val="24"/>
        </w:rPr>
        <w:t xml:space="preserve">.  </w:t>
      </w:r>
      <w:r w:rsidR="00A3323F" w:rsidRPr="005B6BF3">
        <w:rPr>
          <w:rFonts w:ascii="Arial" w:hAnsi="Arial" w:cs="Arial"/>
          <w:szCs w:val="24"/>
        </w:rPr>
        <w:t xml:space="preserve">Benchmark Oversight Committee members are appointed annually by the </w:t>
      </w:r>
      <w:r w:rsidR="009F425D">
        <w:rPr>
          <w:rFonts w:ascii="Arial" w:hAnsi="Arial" w:cs="Arial"/>
          <w:szCs w:val="24"/>
        </w:rPr>
        <w:t>NZFMA</w:t>
      </w:r>
      <w:r w:rsidR="009F425D" w:rsidRPr="005B6BF3">
        <w:rPr>
          <w:rFonts w:ascii="Arial" w:hAnsi="Arial" w:cs="Arial"/>
          <w:szCs w:val="24"/>
        </w:rPr>
        <w:t xml:space="preserve"> </w:t>
      </w:r>
      <w:r w:rsidR="00A3323F" w:rsidRPr="005B6BF3">
        <w:rPr>
          <w:rFonts w:ascii="Arial" w:hAnsi="Arial" w:cs="Arial"/>
          <w:szCs w:val="24"/>
        </w:rPr>
        <w:t>Board.</w:t>
      </w:r>
      <w:r w:rsidR="003253AA">
        <w:rPr>
          <w:rFonts w:ascii="Arial" w:hAnsi="Arial" w:cs="Arial"/>
          <w:szCs w:val="24"/>
        </w:rPr>
        <w:t xml:space="preserve"> </w:t>
      </w:r>
      <w:r w:rsidR="00A3323F">
        <w:rPr>
          <w:rFonts w:ascii="Arial" w:hAnsi="Arial" w:cs="Arial"/>
          <w:szCs w:val="24"/>
        </w:rPr>
        <w:t>T</w:t>
      </w:r>
      <w:r w:rsidRPr="005B6BF3">
        <w:rPr>
          <w:rFonts w:ascii="Arial" w:hAnsi="Arial" w:cs="Arial"/>
          <w:szCs w:val="24"/>
        </w:rPr>
        <w:t>he regulators</w:t>
      </w:r>
      <w:r w:rsidR="00A3323F">
        <w:rPr>
          <w:rFonts w:ascii="Arial" w:hAnsi="Arial" w:cs="Arial"/>
          <w:szCs w:val="24"/>
        </w:rPr>
        <w:t xml:space="preserve"> (Reserve Bank and Financial Markets Authority) are involved as observers</w:t>
      </w:r>
      <w:r w:rsidRPr="005B6BF3">
        <w:rPr>
          <w:rFonts w:ascii="Arial" w:hAnsi="Arial" w:cs="Arial"/>
          <w:szCs w:val="24"/>
        </w:rPr>
        <w:t xml:space="preserve">. </w:t>
      </w:r>
    </w:p>
    <w:p w:rsidR="00A3323F" w:rsidRDefault="00A3323F">
      <w:pPr>
        <w:rPr>
          <w:rFonts w:ascii="Arial" w:eastAsia="Times New Roman" w:hAnsi="Arial" w:cs="Arial"/>
          <w:b/>
          <w:sz w:val="24"/>
          <w:szCs w:val="24"/>
          <w:lang w:val="en-GB" w:eastAsia="ja-JP"/>
        </w:rPr>
      </w:pPr>
    </w:p>
    <w:sectPr w:rsidR="00A3323F" w:rsidSect="003F4B40">
      <w:footerReference w:type="default" r:id="rId16"/>
      <w:pgSz w:w="11906" w:h="16838"/>
      <w:pgMar w:top="1440" w:right="1080" w:bottom="1440" w:left="1080" w:header="708" w:footer="3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B9" w:rsidRDefault="00E84FB9" w:rsidP="009846A6">
      <w:pPr>
        <w:spacing w:after="0" w:line="240" w:lineRule="auto"/>
      </w:pPr>
      <w:r>
        <w:separator/>
      </w:r>
    </w:p>
  </w:endnote>
  <w:endnote w:type="continuationSeparator" w:id="0">
    <w:p w:rsidR="00E84FB9" w:rsidRDefault="00E84FB9" w:rsidP="0098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Sans">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40F" w:rsidRPr="005C2A13" w:rsidRDefault="0062740F" w:rsidP="00EC7EA8">
    <w:pPr>
      <w:pStyle w:val="Footer"/>
      <w:jc w:val="center"/>
      <w:rPr>
        <w:rFonts w:ascii="Arial" w:hAnsi="Arial" w:cs="Arial"/>
        <w:sz w:val="18"/>
        <w:szCs w:val="18"/>
      </w:rPr>
    </w:pPr>
  </w:p>
  <w:p w:rsidR="0062740F" w:rsidRDefault="00627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B9" w:rsidRDefault="00E84FB9" w:rsidP="009846A6">
      <w:pPr>
        <w:spacing w:after="0" w:line="240" w:lineRule="auto"/>
      </w:pPr>
      <w:r>
        <w:separator/>
      </w:r>
    </w:p>
  </w:footnote>
  <w:footnote w:type="continuationSeparator" w:id="0">
    <w:p w:rsidR="00E84FB9" w:rsidRDefault="00E84FB9" w:rsidP="00984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8139A"/>
    <w:multiLevelType w:val="hybridMultilevel"/>
    <w:tmpl w:val="550C3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1AC5BCC"/>
    <w:multiLevelType w:val="multilevel"/>
    <w:tmpl w:val="042433A0"/>
    <w:lvl w:ilvl="0">
      <w:start w:val="1"/>
      <w:numFmt w:val="decimal"/>
      <w:pStyle w:val="CabStandard"/>
      <w:lvlText w:val="%1"/>
      <w:lvlJc w:val="left"/>
      <w:pPr>
        <w:tabs>
          <w:tab w:val="num" w:pos="1004"/>
        </w:tabs>
        <w:ind w:left="1004"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50644C35"/>
    <w:multiLevelType w:val="hybridMultilevel"/>
    <w:tmpl w:val="BEBCEAD6"/>
    <w:lvl w:ilvl="0" w:tplc="A476D426">
      <w:start w:val="1"/>
      <w:numFmt w:val="decimal"/>
      <w:pStyle w:val="Numbering-Firstlevel"/>
      <w:lvlText w:val="%1."/>
      <w:lvlJc w:val="left"/>
      <w:pPr>
        <w:tabs>
          <w:tab w:val="num" w:pos="360"/>
        </w:tabs>
        <w:ind w:left="360" w:hanging="360"/>
      </w:pPr>
      <w:rPr>
        <w:b w:val="0"/>
      </w:rPr>
    </w:lvl>
    <w:lvl w:ilvl="1" w:tplc="90BC13EA">
      <w:start w:val="1"/>
      <w:numFmt w:val="lowerLetter"/>
      <w:pStyle w:val="Numbering-Secondlevel"/>
      <w:lvlText w:val="%2."/>
      <w:lvlJc w:val="left"/>
      <w:pPr>
        <w:tabs>
          <w:tab w:val="num" w:pos="1080"/>
        </w:tabs>
        <w:ind w:left="1080" w:hanging="360"/>
      </w:pPr>
    </w:lvl>
    <w:lvl w:ilvl="2" w:tplc="87925440">
      <w:start w:val="1"/>
      <w:numFmt w:val="lowerRoman"/>
      <w:pStyle w:val="Numbering-Thirdlevel"/>
      <w:lvlText w:val="%3."/>
      <w:lvlJc w:val="right"/>
      <w:pPr>
        <w:tabs>
          <w:tab w:val="num" w:pos="1800"/>
        </w:tabs>
        <w:ind w:left="180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548410C0"/>
    <w:multiLevelType w:val="multilevel"/>
    <w:tmpl w:val="9AAC2366"/>
    <w:lvl w:ilvl="0">
      <w:start w:val="1"/>
      <w:numFmt w:val="decimal"/>
      <w:pStyle w:val="BodyText-Numbered"/>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3B"/>
    <w:rsid w:val="000000A8"/>
    <w:rsid w:val="000014DF"/>
    <w:rsid w:val="00001D4E"/>
    <w:rsid w:val="00001E89"/>
    <w:rsid w:val="000030B6"/>
    <w:rsid w:val="00004433"/>
    <w:rsid w:val="000074C0"/>
    <w:rsid w:val="00010113"/>
    <w:rsid w:val="00015020"/>
    <w:rsid w:val="00015B4B"/>
    <w:rsid w:val="0001601B"/>
    <w:rsid w:val="00017736"/>
    <w:rsid w:val="00021752"/>
    <w:rsid w:val="0002221B"/>
    <w:rsid w:val="00022281"/>
    <w:rsid w:val="000252A6"/>
    <w:rsid w:val="000269BA"/>
    <w:rsid w:val="000272AD"/>
    <w:rsid w:val="00027420"/>
    <w:rsid w:val="000301BB"/>
    <w:rsid w:val="000318F3"/>
    <w:rsid w:val="00031A91"/>
    <w:rsid w:val="00032562"/>
    <w:rsid w:val="000358F1"/>
    <w:rsid w:val="00036827"/>
    <w:rsid w:val="00040F23"/>
    <w:rsid w:val="00041E58"/>
    <w:rsid w:val="00046252"/>
    <w:rsid w:val="000476B3"/>
    <w:rsid w:val="00047A01"/>
    <w:rsid w:val="000532D7"/>
    <w:rsid w:val="00055252"/>
    <w:rsid w:val="00056F4F"/>
    <w:rsid w:val="00057818"/>
    <w:rsid w:val="00057D0C"/>
    <w:rsid w:val="00061246"/>
    <w:rsid w:val="000625F5"/>
    <w:rsid w:val="00063F3A"/>
    <w:rsid w:val="00064C01"/>
    <w:rsid w:val="0006645F"/>
    <w:rsid w:val="00071612"/>
    <w:rsid w:val="0007714F"/>
    <w:rsid w:val="000779CA"/>
    <w:rsid w:val="00086ABC"/>
    <w:rsid w:val="00087FB6"/>
    <w:rsid w:val="0009161B"/>
    <w:rsid w:val="000932E3"/>
    <w:rsid w:val="0009630B"/>
    <w:rsid w:val="000965A6"/>
    <w:rsid w:val="000969F2"/>
    <w:rsid w:val="00097103"/>
    <w:rsid w:val="00097754"/>
    <w:rsid w:val="00097AFB"/>
    <w:rsid w:val="000A01B6"/>
    <w:rsid w:val="000A0C0B"/>
    <w:rsid w:val="000A114F"/>
    <w:rsid w:val="000A1239"/>
    <w:rsid w:val="000A191E"/>
    <w:rsid w:val="000A2C38"/>
    <w:rsid w:val="000A37F8"/>
    <w:rsid w:val="000A55F7"/>
    <w:rsid w:val="000A6A94"/>
    <w:rsid w:val="000A725D"/>
    <w:rsid w:val="000B243D"/>
    <w:rsid w:val="000B5862"/>
    <w:rsid w:val="000B69EA"/>
    <w:rsid w:val="000B771B"/>
    <w:rsid w:val="000C026F"/>
    <w:rsid w:val="000C059B"/>
    <w:rsid w:val="000C2B67"/>
    <w:rsid w:val="000C4339"/>
    <w:rsid w:val="000C510D"/>
    <w:rsid w:val="000C63F3"/>
    <w:rsid w:val="000C7ED8"/>
    <w:rsid w:val="000D120D"/>
    <w:rsid w:val="000D4C04"/>
    <w:rsid w:val="000D6064"/>
    <w:rsid w:val="000E0D53"/>
    <w:rsid w:val="000E5ED4"/>
    <w:rsid w:val="000E75FA"/>
    <w:rsid w:val="000E7924"/>
    <w:rsid w:val="000F22D7"/>
    <w:rsid w:val="000F4A6E"/>
    <w:rsid w:val="000F5673"/>
    <w:rsid w:val="000F58BC"/>
    <w:rsid w:val="0010215D"/>
    <w:rsid w:val="001035F8"/>
    <w:rsid w:val="00103E03"/>
    <w:rsid w:val="00106A49"/>
    <w:rsid w:val="001154C1"/>
    <w:rsid w:val="001174C8"/>
    <w:rsid w:val="001177A7"/>
    <w:rsid w:val="0012052A"/>
    <w:rsid w:val="00120C1C"/>
    <w:rsid w:val="00124516"/>
    <w:rsid w:val="00125F43"/>
    <w:rsid w:val="00126E5D"/>
    <w:rsid w:val="00131F08"/>
    <w:rsid w:val="00137A8A"/>
    <w:rsid w:val="00141E1C"/>
    <w:rsid w:val="00142F69"/>
    <w:rsid w:val="00147D55"/>
    <w:rsid w:val="00154EA7"/>
    <w:rsid w:val="00155015"/>
    <w:rsid w:val="00156244"/>
    <w:rsid w:val="00161BE7"/>
    <w:rsid w:val="00161FD5"/>
    <w:rsid w:val="00162452"/>
    <w:rsid w:val="0016277A"/>
    <w:rsid w:val="00162AAC"/>
    <w:rsid w:val="00163BF2"/>
    <w:rsid w:val="00163CFB"/>
    <w:rsid w:val="00165DCD"/>
    <w:rsid w:val="0017082F"/>
    <w:rsid w:val="0017203A"/>
    <w:rsid w:val="001751B6"/>
    <w:rsid w:val="00176484"/>
    <w:rsid w:val="0018099D"/>
    <w:rsid w:val="00181FDB"/>
    <w:rsid w:val="00182126"/>
    <w:rsid w:val="00183717"/>
    <w:rsid w:val="0018657A"/>
    <w:rsid w:val="00191CA3"/>
    <w:rsid w:val="001A03DD"/>
    <w:rsid w:val="001A3AEE"/>
    <w:rsid w:val="001A4BDB"/>
    <w:rsid w:val="001B21A8"/>
    <w:rsid w:val="001B6EDD"/>
    <w:rsid w:val="001C0676"/>
    <w:rsid w:val="001C2E3F"/>
    <w:rsid w:val="001C3DE8"/>
    <w:rsid w:val="001C43AA"/>
    <w:rsid w:val="001C4CA9"/>
    <w:rsid w:val="001C66D7"/>
    <w:rsid w:val="001C6F04"/>
    <w:rsid w:val="001D0B31"/>
    <w:rsid w:val="001D46F9"/>
    <w:rsid w:val="001D49B5"/>
    <w:rsid w:val="001D51E4"/>
    <w:rsid w:val="001D57B8"/>
    <w:rsid w:val="001D5F34"/>
    <w:rsid w:val="001E1235"/>
    <w:rsid w:val="001E3A6D"/>
    <w:rsid w:val="001E44E4"/>
    <w:rsid w:val="001E4626"/>
    <w:rsid w:val="001E7A76"/>
    <w:rsid w:val="001F1B10"/>
    <w:rsid w:val="001F2E0E"/>
    <w:rsid w:val="001F351E"/>
    <w:rsid w:val="001F37E6"/>
    <w:rsid w:val="001F5003"/>
    <w:rsid w:val="001F6B68"/>
    <w:rsid w:val="001F6E6A"/>
    <w:rsid w:val="001F7A9B"/>
    <w:rsid w:val="00200525"/>
    <w:rsid w:val="00200962"/>
    <w:rsid w:val="002027FB"/>
    <w:rsid w:val="0020614A"/>
    <w:rsid w:val="00210E4C"/>
    <w:rsid w:val="002113FE"/>
    <w:rsid w:val="00211454"/>
    <w:rsid w:val="00212676"/>
    <w:rsid w:val="00213131"/>
    <w:rsid w:val="0021435E"/>
    <w:rsid w:val="00215693"/>
    <w:rsid w:val="002205A8"/>
    <w:rsid w:val="00220CE8"/>
    <w:rsid w:val="00221668"/>
    <w:rsid w:val="00222604"/>
    <w:rsid w:val="002248E1"/>
    <w:rsid w:val="0022547E"/>
    <w:rsid w:val="002305D0"/>
    <w:rsid w:val="00233C11"/>
    <w:rsid w:val="002347B5"/>
    <w:rsid w:val="00234D60"/>
    <w:rsid w:val="00240BAE"/>
    <w:rsid w:val="002419C8"/>
    <w:rsid w:val="0024414E"/>
    <w:rsid w:val="002468DB"/>
    <w:rsid w:val="00250C75"/>
    <w:rsid w:val="00253008"/>
    <w:rsid w:val="002559AD"/>
    <w:rsid w:val="002562CB"/>
    <w:rsid w:val="002616F3"/>
    <w:rsid w:val="002622E6"/>
    <w:rsid w:val="0026361E"/>
    <w:rsid w:val="0026450F"/>
    <w:rsid w:val="00267A50"/>
    <w:rsid w:val="002750E6"/>
    <w:rsid w:val="002751D4"/>
    <w:rsid w:val="002752F2"/>
    <w:rsid w:val="002754C9"/>
    <w:rsid w:val="00281BD8"/>
    <w:rsid w:val="00284187"/>
    <w:rsid w:val="00287083"/>
    <w:rsid w:val="002871BE"/>
    <w:rsid w:val="0029004F"/>
    <w:rsid w:val="00295189"/>
    <w:rsid w:val="00295767"/>
    <w:rsid w:val="0029673A"/>
    <w:rsid w:val="002A0158"/>
    <w:rsid w:val="002A09D0"/>
    <w:rsid w:val="002A228E"/>
    <w:rsid w:val="002A42EB"/>
    <w:rsid w:val="002A508C"/>
    <w:rsid w:val="002A64CE"/>
    <w:rsid w:val="002B0EC3"/>
    <w:rsid w:val="002B19CD"/>
    <w:rsid w:val="002B2A2C"/>
    <w:rsid w:val="002B4266"/>
    <w:rsid w:val="002B47E8"/>
    <w:rsid w:val="002B5745"/>
    <w:rsid w:val="002B66D7"/>
    <w:rsid w:val="002B72E4"/>
    <w:rsid w:val="002B79AD"/>
    <w:rsid w:val="002C099C"/>
    <w:rsid w:val="002C0BA4"/>
    <w:rsid w:val="002C1ACA"/>
    <w:rsid w:val="002C1CDC"/>
    <w:rsid w:val="002C1CF7"/>
    <w:rsid w:val="002C314B"/>
    <w:rsid w:val="002C5251"/>
    <w:rsid w:val="002D3A1D"/>
    <w:rsid w:val="002E0A20"/>
    <w:rsid w:val="002E56CD"/>
    <w:rsid w:val="002E6D4B"/>
    <w:rsid w:val="002E7144"/>
    <w:rsid w:val="002F0EAF"/>
    <w:rsid w:val="002F1937"/>
    <w:rsid w:val="002F19C5"/>
    <w:rsid w:val="002F1BDC"/>
    <w:rsid w:val="002F4E08"/>
    <w:rsid w:val="002F6186"/>
    <w:rsid w:val="00302482"/>
    <w:rsid w:val="00310A21"/>
    <w:rsid w:val="003111F8"/>
    <w:rsid w:val="00311278"/>
    <w:rsid w:val="0031206B"/>
    <w:rsid w:val="003150F0"/>
    <w:rsid w:val="003158D1"/>
    <w:rsid w:val="00315CAA"/>
    <w:rsid w:val="0031606D"/>
    <w:rsid w:val="00317D8B"/>
    <w:rsid w:val="003253AA"/>
    <w:rsid w:val="00325C61"/>
    <w:rsid w:val="00325D9A"/>
    <w:rsid w:val="0032606D"/>
    <w:rsid w:val="00327870"/>
    <w:rsid w:val="00332236"/>
    <w:rsid w:val="0033351B"/>
    <w:rsid w:val="00333BD0"/>
    <w:rsid w:val="00333BDF"/>
    <w:rsid w:val="00334910"/>
    <w:rsid w:val="00334AE5"/>
    <w:rsid w:val="003377E4"/>
    <w:rsid w:val="00342174"/>
    <w:rsid w:val="00342549"/>
    <w:rsid w:val="003455EE"/>
    <w:rsid w:val="00347CFC"/>
    <w:rsid w:val="00350BDE"/>
    <w:rsid w:val="00351E28"/>
    <w:rsid w:val="00352897"/>
    <w:rsid w:val="00354F15"/>
    <w:rsid w:val="00355324"/>
    <w:rsid w:val="00355CE3"/>
    <w:rsid w:val="00357EDE"/>
    <w:rsid w:val="00363792"/>
    <w:rsid w:val="003707C0"/>
    <w:rsid w:val="003710BD"/>
    <w:rsid w:val="00372EA5"/>
    <w:rsid w:val="003757ED"/>
    <w:rsid w:val="0038014E"/>
    <w:rsid w:val="0038077C"/>
    <w:rsid w:val="0038193D"/>
    <w:rsid w:val="003908AB"/>
    <w:rsid w:val="00390DA8"/>
    <w:rsid w:val="003911AE"/>
    <w:rsid w:val="00393727"/>
    <w:rsid w:val="00394F0D"/>
    <w:rsid w:val="003952CD"/>
    <w:rsid w:val="00395EA2"/>
    <w:rsid w:val="00397733"/>
    <w:rsid w:val="003A0AC5"/>
    <w:rsid w:val="003A1A25"/>
    <w:rsid w:val="003A276D"/>
    <w:rsid w:val="003A2F34"/>
    <w:rsid w:val="003A4A5C"/>
    <w:rsid w:val="003A4F12"/>
    <w:rsid w:val="003B00D0"/>
    <w:rsid w:val="003B09C7"/>
    <w:rsid w:val="003B1AE7"/>
    <w:rsid w:val="003B28BF"/>
    <w:rsid w:val="003B38F8"/>
    <w:rsid w:val="003B39FA"/>
    <w:rsid w:val="003B3CC0"/>
    <w:rsid w:val="003B7F00"/>
    <w:rsid w:val="003C4DAF"/>
    <w:rsid w:val="003C5C6D"/>
    <w:rsid w:val="003C7C7F"/>
    <w:rsid w:val="003D31C1"/>
    <w:rsid w:val="003D398D"/>
    <w:rsid w:val="003D7E8C"/>
    <w:rsid w:val="003E3030"/>
    <w:rsid w:val="003E3A22"/>
    <w:rsid w:val="003F4B40"/>
    <w:rsid w:val="003F5664"/>
    <w:rsid w:val="003F7CA5"/>
    <w:rsid w:val="00402B08"/>
    <w:rsid w:val="004065E1"/>
    <w:rsid w:val="00413F70"/>
    <w:rsid w:val="00416369"/>
    <w:rsid w:val="00417BD2"/>
    <w:rsid w:val="0042174E"/>
    <w:rsid w:val="004234E7"/>
    <w:rsid w:val="0042477F"/>
    <w:rsid w:val="00425F86"/>
    <w:rsid w:val="00426BAA"/>
    <w:rsid w:val="00427281"/>
    <w:rsid w:val="00427669"/>
    <w:rsid w:val="00431B66"/>
    <w:rsid w:val="00435632"/>
    <w:rsid w:val="0043602A"/>
    <w:rsid w:val="00442E4E"/>
    <w:rsid w:val="00444676"/>
    <w:rsid w:val="00451088"/>
    <w:rsid w:val="00454877"/>
    <w:rsid w:val="0046317F"/>
    <w:rsid w:val="00466832"/>
    <w:rsid w:val="00470A71"/>
    <w:rsid w:val="00473CB8"/>
    <w:rsid w:val="00473E01"/>
    <w:rsid w:val="00475017"/>
    <w:rsid w:val="004805D8"/>
    <w:rsid w:val="00480C39"/>
    <w:rsid w:val="00480F47"/>
    <w:rsid w:val="00483FB8"/>
    <w:rsid w:val="004859B1"/>
    <w:rsid w:val="00487EE9"/>
    <w:rsid w:val="004A1BDA"/>
    <w:rsid w:val="004A319A"/>
    <w:rsid w:val="004A4BA4"/>
    <w:rsid w:val="004A5A0B"/>
    <w:rsid w:val="004A7516"/>
    <w:rsid w:val="004B117F"/>
    <w:rsid w:val="004B2A4C"/>
    <w:rsid w:val="004B6C09"/>
    <w:rsid w:val="004C20F5"/>
    <w:rsid w:val="004C6776"/>
    <w:rsid w:val="004D31DB"/>
    <w:rsid w:val="004D71BE"/>
    <w:rsid w:val="004E0552"/>
    <w:rsid w:val="004E31AB"/>
    <w:rsid w:val="004E3200"/>
    <w:rsid w:val="004E74D1"/>
    <w:rsid w:val="004E7AF7"/>
    <w:rsid w:val="004F0EA6"/>
    <w:rsid w:val="004F4886"/>
    <w:rsid w:val="004F5750"/>
    <w:rsid w:val="004F593C"/>
    <w:rsid w:val="00506201"/>
    <w:rsid w:val="00506DE8"/>
    <w:rsid w:val="00511AE3"/>
    <w:rsid w:val="00513DC1"/>
    <w:rsid w:val="00521154"/>
    <w:rsid w:val="0052362E"/>
    <w:rsid w:val="00524C75"/>
    <w:rsid w:val="00526863"/>
    <w:rsid w:val="00526DD0"/>
    <w:rsid w:val="00530223"/>
    <w:rsid w:val="00530535"/>
    <w:rsid w:val="00531B33"/>
    <w:rsid w:val="005339D2"/>
    <w:rsid w:val="00535615"/>
    <w:rsid w:val="0054171F"/>
    <w:rsid w:val="00541F33"/>
    <w:rsid w:val="00543A85"/>
    <w:rsid w:val="00546068"/>
    <w:rsid w:val="005464C1"/>
    <w:rsid w:val="0055010A"/>
    <w:rsid w:val="005515F0"/>
    <w:rsid w:val="00551F0E"/>
    <w:rsid w:val="0055746F"/>
    <w:rsid w:val="005607D6"/>
    <w:rsid w:val="005636C1"/>
    <w:rsid w:val="00564E46"/>
    <w:rsid w:val="00566D2D"/>
    <w:rsid w:val="0056785F"/>
    <w:rsid w:val="00567B90"/>
    <w:rsid w:val="005702C9"/>
    <w:rsid w:val="00570B59"/>
    <w:rsid w:val="005748DA"/>
    <w:rsid w:val="00575E5D"/>
    <w:rsid w:val="00581B50"/>
    <w:rsid w:val="00582D4B"/>
    <w:rsid w:val="00583A7B"/>
    <w:rsid w:val="005840B2"/>
    <w:rsid w:val="005860C9"/>
    <w:rsid w:val="005871C1"/>
    <w:rsid w:val="00593561"/>
    <w:rsid w:val="0059370D"/>
    <w:rsid w:val="00595E32"/>
    <w:rsid w:val="005A357C"/>
    <w:rsid w:val="005A4305"/>
    <w:rsid w:val="005B120A"/>
    <w:rsid w:val="005B15C5"/>
    <w:rsid w:val="005B2059"/>
    <w:rsid w:val="005B25B3"/>
    <w:rsid w:val="005B5E6E"/>
    <w:rsid w:val="005B6BF3"/>
    <w:rsid w:val="005C0B07"/>
    <w:rsid w:val="005C2A13"/>
    <w:rsid w:val="005D09A4"/>
    <w:rsid w:val="005D191D"/>
    <w:rsid w:val="005D3046"/>
    <w:rsid w:val="005D5BDA"/>
    <w:rsid w:val="005E00D5"/>
    <w:rsid w:val="005E165A"/>
    <w:rsid w:val="005E2260"/>
    <w:rsid w:val="005E3C02"/>
    <w:rsid w:val="005E53C3"/>
    <w:rsid w:val="005E771C"/>
    <w:rsid w:val="005E7BBE"/>
    <w:rsid w:val="005F15A9"/>
    <w:rsid w:val="005F22D2"/>
    <w:rsid w:val="005F259B"/>
    <w:rsid w:val="005F29A9"/>
    <w:rsid w:val="005F5656"/>
    <w:rsid w:val="005F5D50"/>
    <w:rsid w:val="005F6385"/>
    <w:rsid w:val="00603477"/>
    <w:rsid w:val="00603C6C"/>
    <w:rsid w:val="00604056"/>
    <w:rsid w:val="00605D1F"/>
    <w:rsid w:val="006131BA"/>
    <w:rsid w:val="00614392"/>
    <w:rsid w:val="00614C71"/>
    <w:rsid w:val="00616919"/>
    <w:rsid w:val="00616D64"/>
    <w:rsid w:val="006174A3"/>
    <w:rsid w:val="00620900"/>
    <w:rsid w:val="00622FBC"/>
    <w:rsid w:val="006245B0"/>
    <w:rsid w:val="00624D8A"/>
    <w:rsid w:val="006268E8"/>
    <w:rsid w:val="00626B4F"/>
    <w:rsid w:val="0062740F"/>
    <w:rsid w:val="00631696"/>
    <w:rsid w:val="00632391"/>
    <w:rsid w:val="00632E8B"/>
    <w:rsid w:val="00633110"/>
    <w:rsid w:val="00633CF0"/>
    <w:rsid w:val="00641328"/>
    <w:rsid w:val="00645F6A"/>
    <w:rsid w:val="00646023"/>
    <w:rsid w:val="006526C1"/>
    <w:rsid w:val="00660366"/>
    <w:rsid w:val="00661053"/>
    <w:rsid w:val="00663FCE"/>
    <w:rsid w:val="00665C48"/>
    <w:rsid w:val="00666038"/>
    <w:rsid w:val="00667ED4"/>
    <w:rsid w:val="006722D9"/>
    <w:rsid w:val="006742C2"/>
    <w:rsid w:val="00680696"/>
    <w:rsid w:val="00683D8D"/>
    <w:rsid w:val="0068536B"/>
    <w:rsid w:val="006853B2"/>
    <w:rsid w:val="006855F7"/>
    <w:rsid w:val="00694002"/>
    <w:rsid w:val="0069420A"/>
    <w:rsid w:val="0069634D"/>
    <w:rsid w:val="00697AE6"/>
    <w:rsid w:val="006A09F9"/>
    <w:rsid w:val="006A3A18"/>
    <w:rsid w:val="006B6710"/>
    <w:rsid w:val="006B731B"/>
    <w:rsid w:val="006B791D"/>
    <w:rsid w:val="006B7D8E"/>
    <w:rsid w:val="006C05F7"/>
    <w:rsid w:val="006C0C5C"/>
    <w:rsid w:val="006C27AB"/>
    <w:rsid w:val="006D186D"/>
    <w:rsid w:val="006D3DAC"/>
    <w:rsid w:val="006D6735"/>
    <w:rsid w:val="006D6CA2"/>
    <w:rsid w:val="006D6E0E"/>
    <w:rsid w:val="006E158B"/>
    <w:rsid w:val="006E1D0C"/>
    <w:rsid w:val="006E4221"/>
    <w:rsid w:val="006E6089"/>
    <w:rsid w:val="006E68FD"/>
    <w:rsid w:val="006E6F0C"/>
    <w:rsid w:val="006E6F3C"/>
    <w:rsid w:val="006F18F3"/>
    <w:rsid w:val="006F5947"/>
    <w:rsid w:val="0070033B"/>
    <w:rsid w:val="00704A9C"/>
    <w:rsid w:val="00706947"/>
    <w:rsid w:val="0071115F"/>
    <w:rsid w:val="00714488"/>
    <w:rsid w:val="00717A18"/>
    <w:rsid w:val="007200FA"/>
    <w:rsid w:val="007223C3"/>
    <w:rsid w:val="00722ECE"/>
    <w:rsid w:val="00723D2A"/>
    <w:rsid w:val="00724269"/>
    <w:rsid w:val="007244B1"/>
    <w:rsid w:val="00726DC8"/>
    <w:rsid w:val="00727D08"/>
    <w:rsid w:val="007305BD"/>
    <w:rsid w:val="007356DC"/>
    <w:rsid w:val="00737BE2"/>
    <w:rsid w:val="00743131"/>
    <w:rsid w:val="00743EFE"/>
    <w:rsid w:val="00744046"/>
    <w:rsid w:val="0074444A"/>
    <w:rsid w:val="007459CD"/>
    <w:rsid w:val="00747839"/>
    <w:rsid w:val="00757EBA"/>
    <w:rsid w:val="00760094"/>
    <w:rsid w:val="00763E3A"/>
    <w:rsid w:val="00765E10"/>
    <w:rsid w:val="00766169"/>
    <w:rsid w:val="00766844"/>
    <w:rsid w:val="0076792F"/>
    <w:rsid w:val="00773401"/>
    <w:rsid w:val="007746B0"/>
    <w:rsid w:val="00775CB9"/>
    <w:rsid w:val="007776CF"/>
    <w:rsid w:val="007821F3"/>
    <w:rsid w:val="00784F6F"/>
    <w:rsid w:val="00784FC7"/>
    <w:rsid w:val="007868D5"/>
    <w:rsid w:val="00790268"/>
    <w:rsid w:val="0079287E"/>
    <w:rsid w:val="00794EC7"/>
    <w:rsid w:val="00795FA5"/>
    <w:rsid w:val="0079778B"/>
    <w:rsid w:val="007A252B"/>
    <w:rsid w:val="007A34CA"/>
    <w:rsid w:val="007A358F"/>
    <w:rsid w:val="007A535D"/>
    <w:rsid w:val="007A6DB9"/>
    <w:rsid w:val="007B0248"/>
    <w:rsid w:val="007B1334"/>
    <w:rsid w:val="007B22E5"/>
    <w:rsid w:val="007B2F5D"/>
    <w:rsid w:val="007B57B2"/>
    <w:rsid w:val="007C423D"/>
    <w:rsid w:val="007C4CA0"/>
    <w:rsid w:val="007C50B1"/>
    <w:rsid w:val="007C678B"/>
    <w:rsid w:val="007C7F03"/>
    <w:rsid w:val="007D0DA4"/>
    <w:rsid w:val="007D648E"/>
    <w:rsid w:val="007D7C2B"/>
    <w:rsid w:val="007E0213"/>
    <w:rsid w:val="007E1009"/>
    <w:rsid w:val="007E4090"/>
    <w:rsid w:val="007E4EA4"/>
    <w:rsid w:val="007E51D4"/>
    <w:rsid w:val="007F12CC"/>
    <w:rsid w:val="007F16EC"/>
    <w:rsid w:val="007F6322"/>
    <w:rsid w:val="00802525"/>
    <w:rsid w:val="00803B52"/>
    <w:rsid w:val="0081108C"/>
    <w:rsid w:val="00811DD2"/>
    <w:rsid w:val="00812442"/>
    <w:rsid w:val="0081275B"/>
    <w:rsid w:val="0081446E"/>
    <w:rsid w:val="008204E2"/>
    <w:rsid w:val="0082391B"/>
    <w:rsid w:val="00827AE4"/>
    <w:rsid w:val="00830AB9"/>
    <w:rsid w:val="008327DD"/>
    <w:rsid w:val="008378F5"/>
    <w:rsid w:val="008429F4"/>
    <w:rsid w:val="00843BF4"/>
    <w:rsid w:val="008468E5"/>
    <w:rsid w:val="008601C2"/>
    <w:rsid w:val="00862701"/>
    <w:rsid w:val="00862DF9"/>
    <w:rsid w:val="008671DF"/>
    <w:rsid w:val="00870EBA"/>
    <w:rsid w:val="00873A7F"/>
    <w:rsid w:val="008803DD"/>
    <w:rsid w:val="008809AD"/>
    <w:rsid w:val="00880E2C"/>
    <w:rsid w:val="00883A38"/>
    <w:rsid w:val="008853DC"/>
    <w:rsid w:val="00885DCD"/>
    <w:rsid w:val="0088645B"/>
    <w:rsid w:val="00890BA6"/>
    <w:rsid w:val="008912F9"/>
    <w:rsid w:val="00892A2D"/>
    <w:rsid w:val="00895D97"/>
    <w:rsid w:val="00896102"/>
    <w:rsid w:val="00897D61"/>
    <w:rsid w:val="008A09EA"/>
    <w:rsid w:val="008A10E8"/>
    <w:rsid w:val="008A6054"/>
    <w:rsid w:val="008A7450"/>
    <w:rsid w:val="008B0109"/>
    <w:rsid w:val="008B0C4A"/>
    <w:rsid w:val="008B1B0F"/>
    <w:rsid w:val="008B1B50"/>
    <w:rsid w:val="008B323B"/>
    <w:rsid w:val="008B56FA"/>
    <w:rsid w:val="008B61A5"/>
    <w:rsid w:val="008B79B3"/>
    <w:rsid w:val="008C2000"/>
    <w:rsid w:val="008C46DB"/>
    <w:rsid w:val="008D2AF4"/>
    <w:rsid w:val="008D37E1"/>
    <w:rsid w:val="008D4FF7"/>
    <w:rsid w:val="008E0586"/>
    <w:rsid w:val="008E05F1"/>
    <w:rsid w:val="008E1166"/>
    <w:rsid w:val="008E1959"/>
    <w:rsid w:val="008E2438"/>
    <w:rsid w:val="008E42C1"/>
    <w:rsid w:val="008E6000"/>
    <w:rsid w:val="008F031D"/>
    <w:rsid w:val="008F0730"/>
    <w:rsid w:val="008F25B5"/>
    <w:rsid w:val="008F3C75"/>
    <w:rsid w:val="008F505E"/>
    <w:rsid w:val="008F6FFB"/>
    <w:rsid w:val="009004FD"/>
    <w:rsid w:val="009014AC"/>
    <w:rsid w:val="00901E0B"/>
    <w:rsid w:val="009021A4"/>
    <w:rsid w:val="009052A2"/>
    <w:rsid w:val="0090710E"/>
    <w:rsid w:val="0091595D"/>
    <w:rsid w:val="0091606B"/>
    <w:rsid w:val="009172D0"/>
    <w:rsid w:val="0092037B"/>
    <w:rsid w:val="00920E8C"/>
    <w:rsid w:val="00921078"/>
    <w:rsid w:val="00923D8C"/>
    <w:rsid w:val="009247AE"/>
    <w:rsid w:val="00925C17"/>
    <w:rsid w:val="00927A3D"/>
    <w:rsid w:val="0093582D"/>
    <w:rsid w:val="009447E4"/>
    <w:rsid w:val="00945A14"/>
    <w:rsid w:val="00945AAA"/>
    <w:rsid w:val="00947CBA"/>
    <w:rsid w:val="0095019E"/>
    <w:rsid w:val="009504E6"/>
    <w:rsid w:val="00955662"/>
    <w:rsid w:val="009616DF"/>
    <w:rsid w:val="00961853"/>
    <w:rsid w:val="00963131"/>
    <w:rsid w:val="0098264D"/>
    <w:rsid w:val="009831D4"/>
    <w:rsid w:val="009846A6"/>
    <w:rsid w:val="009863BB"/>
    <w:rsid w:val="009864CE"/>
    <w:rsid w:val="00993859"/>
    <w:rsid w:val="00994AD1"/>
    <w:rsid w:val="00997040"/>
    <w:rsid w:val="009A1572"/>
    <w:rsid w:val="009A1EBB"/>
    <w:rsid w:val="009A5D03"/>
    <w:rsid w:val="009A7184"/>
    <w:rsid w:val="009B1459"/>
    <w:rsid w:val="009B28BC"/>
    <w:rsid w:val="009B330A"/>
    <w:rsid w:val="009B4A62"/>
    <w:rsid w:val="009C0CFC"/>
    <w:rsid w:val="009C0FDF"/>
    <w:rsid w:val="009C27AA"/>
    <w:rsid w:val="009C6FAC"/>
    <w:rsid w:val="009C7459"/>
    <w:rsid w:val="009D03F6"/>
    <w:rsid w:val="009D431F"/>
    <w:rsid w:val="009E234D"/>
    <w:rsid w:val="009E29C1"/>
    <w:rsid w:val="009E53A8"/>
    <w:rsid w:val="009E5D9B"/>
    <w:rsid w:val="009F0836"/>
    <w:rsid w:val="009F0F70"/>
    <w:rsid w:val="009F1297"/>
    <w:rsid w:val="009F425D"/>
    <w:rsid w:val="009F4B15"/>
    <w:rsid w:val="00A00A31"/>
    <w:rsid w:val="00A05A48"/>
    <w:rsid w:val="00A05BA2"/>
    <w:rsid w:val="00A1244B"/>
    <w:rsid w:val="00A1271D"/>
    <w:rsid w:val="00A134EE"/>
    <w:rsid w:val="00A14B56"/>
    <w:rsid w:val="00A15617"/>
    <w:rsid w:val="00A17FC1"/>
    <w:rsid w:val="00A200A9"/>
    <w:rsid w:val="00A213B3"/>
    <w:rsid w:val="00A21CC8"/>
    <w:rsid w:val="00A2283A"/>
    <w:rsid w:val="00A22D30"/>
    <w:rsid w:val="00A24CA4"/>
    <w:rsid w:val="00A25ADA"/>
    <w:rsid w:val="00A26168"/>
    <w:rsid w:val="00A26F3F"/>
    <w:rsid w:val="00A3031D"/>
    <w:rsid w:val="00A3323F"/>
    <w:rsid w:val="00A34D89"/>
    <w:rsid w:val="00A36308"/>
    <w:rsid w:val="00A417F2"/>
    <w:rsid w:val="00A41A84"/>
    <w:rsid w:val="00A46D52"/>
    <w:rsid w:val="00A475D4"/>
    <w:rsid w:val="00A513DE"/>
    <w:rsid w:val="00A5181F"/>
    <w:rsid w:val="00A56DCB"/>
    <w:rsid w:val="00A57BCD"/>
    <w:rsid w:val="00A57E27"/>
    <w:rsid w:val="00A62258"/>
    <w:rsid w:val="00A634BA"/>
    <w:rsid w:val="00A66C44"/>
    <w:rsid w:val="00A70E8D"/>
    <w:rsid w:val="00A72662"/>
    <w:rsid w:val="00A75E1C"/>
    <w:rsid w:val="00A771F7"/>
    <w:rsid w:val="00A778C4"/>
    <w:rsid w:val="00A83E7E"/>
    <w:rsid w:val="00A84386"/>
    <w:rsid w:val="00A85FB6"/>
    <w:rsid w:val="00A86E84"/>
    <w:rsid w:val="00A87331"/>
    <w:rsid w:val="00A87857"/>
    <w:rsid w:val="00A94217"/>
    <w:rsid w:val="00A9539E"/>
    <w:rsid w:val="00A95EA3"/>
    <w:rsid w:val="00A96E8C"/>
    <w:rsid w:val="00AA053F"/>
    <w:rsid w:val="00AA0823"/>
    <w:rsid w:val="00AA233D"/>
    <w:rsid w:val="00AA3DA7"/>
    <w:rsid w:val="00AA50CC"/>
    <w:rsid w:val="00AA5DDF"/>
    <w:rsid w:val="00AA5F35"/>
    <w:rsid w:val="00AA66F4"/>
    <w:rsid w:val="00AA6865"/>
    <w:rsid w:val="00AA7E3F"/>
    <w:rsid w:val="00AB095C"/>
    <w:rsid w:val="00AB3DDB"/>
    <w:rsid w:val="00AB42F4"/>
    <w:rsid w:val="00AB5FCC"/>
    <w:rsid w:val="00AB73B1"/>
    <w:rsid w:val="00AB7CB0"/>
    <w:rsid w:val="00AC1004"/>
    <w:rsid w:val="00AC1A1B"/>
    <w:rsid w:val="00AC28C2"/>
    <w:rsid w:val="00AC3ED3"/>
    <w:rsid w:val="00AC71DA"/>
    <w:rsid w:val="00AD1444"/>
    <w:rsid w:val="00AD3A0C"/>
    <w:rsid w:val="00AE19F5"/>
    <w:rsid w:val="00AE2960"/>
    <w:rsid w:val="00AF4F61"/>
    <w:rsid w:val="00AF5083"/>
    <w:rsid w:val="00AF52BF"/>
    <w:rsid w:val="00AF6C8A"/>
    <w:rsid w:val="00AF7E9C"/>
    <w:rsid w:val="00B01C31"/>
    <w:rsid w:val="00B0253A"/>
    <w:rsid w:val="00B02A78"/>
    <w:rsid w:val="00B07CFB"/>
    <w:rsid w:val="00B07F93"/>
    <w:rsid w:val="00B10883"/>
    <w:rsid w:val="00B1115E"/>
    <w:rsid w:val="00B116D3"/>
    <w:rsid w:val="00B203E6"/>
    <w:rsid w:val="00B21CBC"/>
    <w:rsid w:val="00B23841"/>
    <w:rsid w:val="00B2459E"/>
    <w:rsid w:val="00B24980"/>
    <w:rsid w:val="00B31218"/>
    <w:rsid w:val="00B31D78"/>
    <w:rsid w:val="00B32398"/>
    <w:rsid w:val="00B32F53"/>
    <w:rsid w:val="00B36528"/>
    <w:rsid w:val="00B369D5"/>
    <w:rsid w:val="00B4033F"/>
    <w:rsid w:val="00B41F4F"/>
    <w:rsid w:val="00B5113D"/>
    <w:rsid w:val="00B51E38"/>
    <w:rsid w:val="00B52EAC"/>
    <w:rsid w:val="00B5310E"/>
    <w:rsid w:val="00B5477F"/>
    <w:rsid w:val="00B604C8"/>
    <w:rsid w:val="00B6260D"/>
    <w:rsid w:val="00B62DF7"/>
    <w:rsid w:val="00B64F6A"/>
    <w:rsid w:val="00B66CA2"/>
    <w:rsid w:val="00B6786D"/>
    <w:rsid w:val="00B72C75"/>
    <w:rsid w:val="00B75613"/>
    <w:rsid w:val="00B7573C"/>
    <w:rsid w:val="00B759A8"/>
    <w:rsid w:val="00B77A57"/>
    <w:rsid w:val="00B8330F"/>
    <w:rsid w:val="00B83D3C"/>
    <w:rsid w:val="00B86B19"/>
    <w:rsid w:val="00B87462"/>
    <w:rsid w:val="00B9027E"/>
    <w:rsid w:val="00B902C8"/>
    <w:rsid w:val="00B91F0C"/>
    <w:rsid w:val="00B92747"/>
    <w:rsid w:val="00B969BF"/>
    <w:rsid w:val="00B97C8E"/>
    <w:rsid w:val="00B97CFB"/>
    <w:rsid w:val="00BA06EE"/>
    <w:rsid w:val="00BA43F7"/>
    <w:rsid w:val="00BA7ED2"/>
    <w:rsid w:val="00BB35C2"/>
    <w:rsid w:val="00BB58BB"/>
    <w:rsid w:val="00BB60A2"/>
    <w:rsid w:val="00BB61C5"/>
    <w:rsid w:val="00BB6CA1"/>
    <w:rsid w:val="00BC0D80"/>
    <w:rsid w:val="00BC2C76"/>
    <w:rsid w:val="00BC459F"/>
    <w:rsid w:val="00BC49C2"/>
    <w:rsid w:val="00BC4E6C"/>
    <w:rsid w:val="00BD0DA1"/>
    <w:rsid w:val="00BD0DFD"/>
    <w:rsid w:val="00BD1C4C"/>
    <w:rsid w:val="00BD2EAF"/>
    <w:rsid w:val="00BD454A"/>
    <w:rsid w:val="00BD6066"/>
    <w:rsid w:val="00BD6B30"/>
    <w:rsid w:val="00BE0257"/>
    <w:rsid w:val="00BE19E2"/>
    <w:rsid w:val="00BE3E63"/>
    <w:rsid w:val="00BE50D3"/>
    <w:rsid w:val="00BE68B3"/>
    <w:rsid w:val="00BF35AC"/>
    <w:rsid w:val="00BF37EC"/>
    <w:rsid w:val="00BF44A3"/>
    <w:rsid w:val="00BF7A5A"/>
    <w:rsid w:val="00C0064E"/>
    <w:rsid w:val="00C00DB3"/>
    <w:rsid w:val="00C01A4E"/>
    <w:rsid w:val="00C02BB2"/>
    <w:rsid w:val="00C03C5A"/>
    <w:rsid w:val="00C04234"/>
    <w:rsid w:val="00C04D4A"/>
    <w:rsid w:val="00C0610B"/>
    <w:rsid w:val="00C06B50"/>
    <w:rsid w:val="00C06F72"/>
    <w:rsid w:val="00C109DD"/>
    <w:rsid w:val="00C140F0"/>
    <w:rsid w:val="00C15884"/>
    <w:rsid w:val="00C16498"/>
    <w:rsid w:val="00C215A2"/>
    <w:rsid w:val="00C22B70"/>
    <w:rsid w:val="00C22C75"/>
    <w:rsid w:val="00C2352F"/>
    <w:rsid w:val="00C23F07"/>
    <w:rsid w:val="00C24E22"/>
    <w:rsid w:val="00C31FD2"/>
    <w:rsid w:val="00C3222A"/>
    <w:rsid w:val="00C32DFF"/>
    <w:rsid w:val="00C362D1"/>
    <w:rsid w:val="00C37B50"/>
    <w:rsid w:val="00C40624"/>
    <w:rsid w:val="00C418F3"/>
    <w:rsid w:val="00C41A32"/>
    <w:rsid w:val="00C50156"/>
    <w:rsid w:val="00C501C3"/>
    <w:rsid w:val="00C5126C"/>
    <w:rsid w:val="00C51C83"/>
    <w:rsid w:val="00C5485C"/>
    <w:rsid w:val="00C5604D"/>
    <w:rsid w:val="00C5799C"/>
    <w:rsid w:val="00C57A54"/>
    <w:rsid w:val="00C6056C"/>
    <w:rsid w:val="00C6083B"/>
    <w:rsid w:val="00C70828"/>
    <w:rsid w:val="00C72243"/>
    <w:rsid w:val="00C74731"/>
    <w:rsid w:val="00C8100E"/>
    <w:rsid w:val="00C8144F"/>
    <w:rsid w:val="00C819B2"/>
    <w:rsid w:val="00C82046"/>
    <w:rsid w:val="00C82B53"/>
    <w:rsid w:val="00C86B79"/>
    <w:rsid w:val="00C86FC5"/>
    <w:rsid w:val="00C92031"/>
    <w:rsid w:val="00C96D93"/>
    <w:rsid w:val="00CA28D9"/>
    <w:rsid w:val="00CA584C"/>
    <w:rsid w:val="00CB09F5"/>
    <w:rsid w:val="00CB1050"/>
    <w:rsid w:val="00CB2FD8"/>
    <w:rsid w:val="00CB5C37"/>
    <w:rsid w:val="00CB6322"/>
    <w:rsid w:val="00CB7230"/>
    <w:rsid w:val="00CB7707"/>
    <w:rsid w:val="00CC20F8"/>
    <w:rsid w:val="00CC7214"/>
    <w:rsid w:val="00CD1C14"/>
    <w:rsid w:val="00CD38F4"/>
    <w:rsid w:val="00CD4E9E"/>
    <w:rsid w:val="00CD70AA"/>
    <w:rsid w:val="00CE4286"/>
    <w:rsid w:val="00CF0473"/>
    <w:rsid w:val="00CF1F3D"/>
    <w:rsid w:val="00CF4605"/>
    <w:rsid w:val="00CF664B"/>
    <w:rsid w:val="00D00A65"/>
    <w:rsid w:val="00D042D4"/>
    <w:rsid w:val="00D06C64"/>
    <w:rsid w:val="00D10047"/>
    <w:rsid w:val="00D10238"/>
    <w:rsid w:val="00D11584"/>
    <w:rsid w:val="00D1327D"/>
    <w:rsid w:val="00D13F13"/>
    <w:rsid w:val="00D140E7"/>
    <w:rsid w:val="00D17987"/>
    <w:rsid w:val="00D2054B"/>
    <w:rsid w:val="00D226B1"/>
    <w:rsid w:val="00D22B9E"/>
    <w:rsid w:val="00D231E4"/>
    <w:rsid w:val="00D25AFD"/>
    <w:rsid w:val="00D25E09"/>
    <w:rsid w:val="00D26317"/>
    <w:rsid w:val="00D32967"/>
    <w:rsid w:val="00D3329B"/>
    <w:rsid w:val="00D335DD"/>
    <w:rsid w:val="00D343D8"/>
    <w:rsid w:val="00D36D8C"/>
    <w:rsid w:val="00D42C6C"/>
    <w:rsid w:val="00D46174"/>
    <w:rsid w:val="00D46253"/>
    <w:rsid w:val="00D46718"/>
    <w:rsid w:val="00D5416F"/>
    <w:rsid w:val="00D61C95"/>
    <w:rsid w:val="00D63BC5"/>
    <w:rsid w:val="00D674B6"/>
    <w:rsid w:val="00D71058"/>
    <w:rsid w:val="00D7293C"/>
    <w:rsid w:val="00D73C55"/>
    <w:rsid w:val="00D84886"/>
    <w:rsid w:val="00D85CE8"/>
    <w:rsid w:val="00D91416"/>
    <w:rsid w:val="00D94A62"/>
    <w:rsid w:val="00D96CE9"/>
    <w:rsid w:val="00D976AC"/>
    <w:rsid w:val="00DA07C2"/>
    <w:rsid w:val="00DA24A7"/>
    <w:rsid w:val="00DA52F2"/>
    <w:rsid w:val="00DA78EB"/>
    <w:rsid w:val="00DB57CE"/>
    <w:rsid w:val="00DB6DDB"/>
    <w:rsid w:val="00DB77DF"/>
    <w:rsid w:val="00DC3C96"/>
    <w:rsid w:val="00DC3E33"/>
    <w:rsid w:val="00DC4A5D"/>
    <w:rsid w:val="00DC4FB5"/>
    <w:rsid w:val="00DC5F17"/>
    <w:rsid w:val="00DC650C"/>
    <w:rsid w:val="00DD043F"/>
    <w:rsid w:val="00DD2BE3"/>
    <w:rsid w:val="00DD512C"/>
    <w:rsid w:val="00DD5903"/>
    <w:rsid w:val="00DD6527"/>
    <w:rsid w:val="00DE0ACB"/>
    <w:rsid w:val="00DE4E2A"/>
    <w:rsid w:val="00DE5B1B"/>
    <w:rsid w:val="00DE5E2D"/>
    <w:rsid w:val="00DE72CD"/>
    <w:rsid w:val="00DE7746"/>
    <w:rsid w:val="00DF0633"/>
    <w:rsid w:val="00DF5838"/>
    <w:rsid w:val="00DF7DBA"/>
    <w:rsid w:val="00E02F9D"/>
    <w:rsid w:val="00E03AB9"/>
    <w:rsid w:val="00E0424E"/>
    <w:rsid w:val="00E047F4"/>
    <w:rsid w:val="00E04C9B"/>
    <w:rsid w:val="00E0558D"/>
    <w:rsid w:val="00E05649"/>
    <w:rsid w:val="00E06292"/>
    <w:rsid w:val="00E10046"/>
    <w:rsid w:val="00E11F81"/>
    <w:rsid w:val="00E129B0"/>
    <w:rsid w:val="00E15CEC"/>
    <w:rsid w:val="00E22887"/>
    <w:rsid w:val="00E22A27"/>
    <w:rsid w:val="00E235D8"/>
    <w:rsid w:val="00E235E6"/>
    <w:rsid w:val="00E24897"/>
    <w:rsid w:val="00E24ABC"/>
    <w:rsid w:val="00E27674"/>
    <w:rsid w:val="00E35BDB"/>
    <w:rsid w:val="00E37739"/>
    <w:rsid w:val="00E40066"/>
    <w:rsid w:val="00E40F4E"/>
    <w:rsid w:val="00E41408"/>
    <w:rsid w:val="00E50465"/>
    <w:rsid w:val="00E520EA"/>
    <w:rsid w:val="00E552D9"/>
    <w:rsid w:val="00E55E3A"/>
    <w:rsid w:val="00E57374"/>
    <w:rsid w:val="00E622CB"/>
    <w:rsid w:val="00E6396D"/>
    <w:rsid w:val="00E63F56"/>
    <w:rsid w:val="00E640A0"/>
    <w:rsid w:val="00E65530"/>
    <w:rsid w:val="00E66AC0"/>
    <w:rsid w:val="00E66F18"/>
    <w:rsid w:val="00E710FD"/>
    <w:rsid w:val="00E72FD2"/>
    <w:rsid w:val="00E77FB1"/>
    <w:rsid w:val="00E800B1"/>
    <w:rsid w:val="00E838EF"/>
    <w:rsid w:val="00E84FB9"/>
    <w:rsid w:val="00E865A1"/>
    <w:rsid w:val="00E87521"/>
    <w:rsid w:val="00E94120"/>
    <w:rsid w:val="00E94D80"/>
    <w:rsid w:val="00E9568E"/>
    <w:rsid w:val="00EA1408"/>
    <w:rsid w:val="00EA2A2F"/>
    <w:rsid w:val="00EA4D91"/>
    <w:rsid w:val="00EA6680"/>
    <w:rsid w:val="00EA69C3"/>
    <w:rsid w:val="00EA6D81"/>
    <w:rsid w:val="00EB2A01"/>
    <w:rsid w:val="00EB47B9"/>
    <w:rsid w:val="00EB6880"/>
    <w:rsid w:val="00EB74B6"/>
    <w:rsid w:val="00EC0231"/>
    <w:rsid w:val="00EC09C9"/>
    <w:rsid w:val="00EC0D57"/>
    <w:rsid w:val="00EC5238"/>
    <w:rsid w:val="00EC566D"/>
    <w:rsid w:val="00EC70EC"/>
    <w:rsid w:val="00EC7EA8"/>
    <w:rsid w:val="00ED0F57"/>
    <w:rsid w:val="00ED22A9"/>
    <w:rsid w:val="00ED312D"/>
    <w:rsid w:val="00ED492B"/>
    <w:rsid w:val="00ED5801"/>
    <w:rsid w:val="00ED67E7"/>
    <w:rsid w:val="00EE3CC6"/>
    <w:rsid w:val="00EE639C"/>
    <w:rsid w:val="00EF4971"/>
    <w:rsid w:val="00EF569F"/>
    <w:rsid w:val="00F03D2B"/>
    <w:rsid w:val="00F04B30"/>
    <w:rsid w:val="00F0697B"/>
    <w:rsid w:val="00F13E22"/>
    <w:rsid w:val="00F153C1"/>
    <w:rsid w:val="00F16922"/>
    <w:rsid w:val="00F215A4"/>
    <w:rsid w:val="00F226E8"/>
    <w:rsid w:val="00F247D1"/>
    <w:rsid w:val="00F251F0"/>
    <w:rsid w:val="00F33D29"/>
    <w:rsid w:val="00F41A92"/>
    <w:rsid w:val="00F42C7E"/>
    <w:rsid w:val="00F504DE"/>
    <w:rsid w:val="00F5241D"/>
    <w:rsid w:val="00F5646F"/>
    <w:rsid w:val="00F5670A"/>
    <w:rsid w:val="00F56A8B"/>
    <w:rsid w:val="00F60212"/>
    <w:rsid w:val="00F60636"/>
    <w:rsid w:val="00F61C89"/>
    <w:rsid w:val="00F642C6"/>
    <w:rsid w:val="00F648C1"/>
    <w:rsid w:val="00F64A91"/>
    <w:rsid w:val="00F6797E"/>
    <w:rsid w:val="00F714D2"/>
    <w:rsid w:val="00F725DA"/>
    <w:rsid w:val="00F72EAA"/>
    <w:rsid w:val="00F73774"/>
    <w:rsid w:val="00F80091"/>
    <w:rsid w:val="00F82E57"/>
    <w:rsid w:val="00F87789"/>
    <w:rsid w:val="00F87C91"/>
    <w:rsid w:val="00F90D9F"/>
    <w:rsid w:val="00F93015"/>
    <w:rsid w:val="00F93B6A"/>
    <w:rsid w:val="00F95D4A"/>
    <w:rsid w:val="00F9672E"/>
    <w:rsid w:val="00FA4A69"/>
    <w:rsid w:val="00FA4BEE"/>
    <w:rsid w:val="00FA5951"/>
    <w:rsid w:val="00FA675A"/>
    <w:rsid w:val="00FA7A5C"/>
    <w:rsid w:val="00FB0965"/>
    <w:rsid w:val="00FB0D9A"/>
    <w:rsid w:val="00FB16D3"/>
    <w:rsid w:val="00FB2261"/>
    <w:rsid w:val="00FB40DA"/>
    <w:rsid w:val="00FB5C0C"/>
    <w:rsid w:val="00FC237E"/>
    <w:rsid w:val="00FC419C"/>
    <w:rsid w:val="00FC4346"/>
    <w:rsid w:val="00FC6838"/>
    <w:rsid w:val="00FC6B8B"/>
    <w:rsid w:val="00FD2AD5"/>
    <w:rsid w:val="00FD3F91"/>
    <w:rsid w:val="00FD5189"/>
    <w:rsid w:val="00FD675B"/>
    <w:rsid w:val="00FE402E"/>
    <w:rsid w:val="00FF16B8"/>
    <w:rsid w:val="00FF3568"/>
    <w:rsid w:val="00FF36F2"/>
    <w:rsid w:val="00FF37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D9707C4-7C08-4E5A-BE97-5BD7FD18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75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41E1C"/>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semiHidden/>
    <w:unhideWhenUsed/>
    <w:qFormat/>
    <w:rsid w:val="001C6F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5F3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33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C20F5"/>
    <w:pPr>
      <w:numPr>
        <w:numId w:val="1"/>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70033B"/>
    <w:rPr>
      <w:i/>
      <w:iCs/>
    </w:rPr>
  </w:style>
  <w:style w:type="character" w:styleId="Strong">
    <w:name w:val="Strong"/>
    <w:basedOn w:val="DefaultParagraphFont"/>
    <w:uiPriority w:val="22"/>
    <w:qFormat/>
    <w:rsid w:val="0070033B"/>
    <w:rPr>
      <w:b/>
      <w:bCs/>
    </w:rPr>
  </w:style>
  <w:style w:type="paragraph" w:styleId="Header">
    <w:name w:val="header"/>
    <w:basedOn w:val="Normal"/>
    <w:link w:val="HeaderChar"/>
    <w:unhideWhenUsed/>
    <w:rsid w:val="00984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6A6"/>
  </w:style>
  <w:style w:type="paragraph" w:styleId="Footer">
    <w:name w:val="footer"/>
    <w:basedOn w:val="Normal"/>
    <w:link w:val="FooterChar"/>
    <w:unhideWhenUsed/>
    <w:rsid w:val="009846A6"/>
    <w:pPr>
      <w:tabs>
        <w:tab w:val="center" w:pos="4513"/>
        <w:tab w:val="right" w:pos="9026"/>
      </w:tabs>
      <w:spacing w:after="0" w:line="240" w:lineRule="auto"/>
    </w:pPr>
  </w:style>
  <w:style w:type="character" w:customStyle="1" w:styleId="FooterChar">
    <w:name w:val="Footer Char"/>
    <w:basedOn w:val="DefaultParagraphFont"/>
    <w:link w:val="Footer"/>
    <w:rsid w:val="009846A6"/>
  </w:style>
  <w:style w:type="character" w:customStyle="1" w:styleId="Heading2Char">
    <w:name w:val="Heading 2 Char"/>
    <w:basedOn w:val="DefaultParagraphFont"/>
    <w:link w:val="Heading2"/>
    <w:uiPriority w:val="9"/>
    <w:rsid w:val="00141E1C"/>
    <w:rPr>
      <w:rFonts w:ascii="Times New Roman" w:eastAsia="Times New Roman" w:hAnsi="Times New Roman" w:cs="Times New Roman"/>
      <w:b/>
      <w:bCs/>
      <w:sz w:val="36"/>
      <w:szCs w:val="36"/>
      <w:lang w:eastAsia="en-NZ"/>
    </w:rPr>
  </w:style>
  <w:style w:type="character" w:customStyle="1" w:styleId="label">
    <w:name w:val="label"/>
    <w:basedOn w:val="DefaultParagraphFont"/>
    <w:rsid w:val="00141E1C"/>
  </w:style>
  <w:style w:type="paragraph" w:customStyle="1" w:styleId="empowering-prov">
    <w:name w:val="empowering-prov"/>
    <w:basedOn w:val="Normal"/>
    <w:rsid w:val="00141E1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141E1C"/>
    <w:rPr>
      <w:color w:val="0000FF"/>
      <w:u w:val="single"/>
    </w:rPr>
  </w:style>
  <w:style w:type="paragraph" w:customStyle="1" w:styleId="text">
    <w:name w:val="text"/>
    <w:basedOn w:val="Normal"/>
    <w:rsid w:val="00141E1C"/>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aliases w:val="Bullets"/>
    <w:basedOn w:val="Normal"/>
    <w:link w:val="ListParagraphChar"/>
    <w:uiPriority w:val="34"/>
    <w:qFormat/>
    <w:rsid w:val="00141E1C"/>
    <w:pPr>
      <w:ind w:left="720"/>
      <w:contextualSpacing/>
    </w:pPr>
  </w:style>
  <w:style w:type="character" w:customStyle="1" w:styleId="Heading1Char">
    <w:name w:val="Heading 1 Char"/>
    <w:basedOn w:val="DefaultParagraphFont"/>
    <w:link w:val="Heading1"/>
    <w:uiPriority w:val="9"/>
    <w:rsid w:val="000E75FA"/>
    <w:rPr>
      <w:rFonts w:asciiTheme="majorHAnsi" w:eastAsiaTheme="majorEastAsia" w:hAnsiTheme="majorHAnsi" w:cstheme="majorBidi"/>
      <w:color w:val="365F91" w:themeColor="accent1" w:themeShade="BF"/>
      <w:sz w:val="32"/>
      <w:szCs w:val="32"/>
    </w:rPr>
  </w:style>
  <w:style w:type="table" w:styleId="TableGrid">
    <w:name w:val="Table Grid"/>
    <w:aliases w:val="Header Table Grid"/>
    <w:basedOn w:val="TableNormal"/>
    <w:uiPriority w:val="59"/>
    <w:rsid w:val="009F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F0836"/>
    <w:pPr>
      <w:suppressAutoHyphens/>
      <w:autoSpaceDE w:val="0"/>
      <w:autoSpaceDN w:val="0"/>
      <w:adjustRightInd w:val="0"/>
      <w:spacing w:before="40" w:after="0" w:line="26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9F0836"/>
    <w:rPr>
      <w:rFonts w:ascii="Calibri" w:hAnsi="Calibri" w:cs="Calibri"/>
      <w:color w:val="000000"/>
      <w:lang w:val="en-US"/>
    </w:rPr>
  </w:style>
  <w:style w:type="character" w:customStyle="1" w:styleId="Heading3Char">
    <w:name w:val="Heading 3 Char"/>
    <w:basedOn w:val="DefaultParagraphFont"/>
    <w:link w:val="Heading3"/>
    <w:uiPriority w:val="9"/>
    <w:semiHidden/>
    <w:rsid w:val="001C6F0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80C39"/>
    <w:rPr>
      <w:sz w:val="16"/>
      <w:szCs w:val="16"/>
    </w:rPr>
  </w:style>
  <w:style w:type="paragraph" w:styleId="CommentText">
    <w:name w:val="annotation text"/>
    <w:basedOn w:val="Normal"/>
    <w:link w:val="CommentTextChar"/>
    <w:uiPriority w:val="99"/>
    <w:semiHidden/>
    <w:unhideWhenUsed/>
    <w:rsid w:val="00480C39"/>
    <w:pPr>
      <w:spacing w:line="240" w:lineRule="auto"/>
    </w:pPr>
    <w:rPr>
      <w:sz w:val="20"/>
      <w:szCs w:val="20"/>
    </w:rPr>
  </w:style>
  <w:style w:type="character" w:customStyle="1" w:styleId="CommentTextChar">
    <w:name w:val="Comment Text Char"/>
    <w:basedOn w:val="DefaultParagraphFont"/>
    <w:link w:val="CommentText"/>
    <w:uiPriority w:val="99"/>
    <w:semiHidden/>
    <w:rsid w:val="00480C39"/>
    <w:rPr>
      <w:sz w:val="20"/>
      <w:szCs w:val="20"/>
    </w:rPr>
  </w:style>
  <w:style w:type="paragraph" w:styleId="CommentSubject">
    <w:name w:val="annotation subject"/>
    <w:basedOn w:val="CommentText"/>
    <w:next w:val="CommentText"/>
    <w:link w:val="CommentSubjectChar"/>
    <w:uiPriority w:val="99"/>
    <w:semiHidden/>
    <w:unhideWhenUsed/>
    <w:rsid w:val="00480C39"/>
    <w:rPr>
      <w:b/>
      <w:bCs/>
    </w:rPr>
  </w:style>
  <w:style w:type="character" w:customStyle="1" w:styleId="CommentSubjectChar">
    <w:name w:val="Comment Subject Char"/>
    <w:basedOn w:val="CommentTextChar"/>
    <w:link w:val="CommentSubject"/>
    <w:uiPriority w:val="99"/>
    <w:semiHidden/>
    <w:rsid w:val="00480C39"/>
    <w:rPr>
      <w:b/>
      <w:bCs/>
      <w:sz w:val="20"/>
      <w:szCs w:val="20"/>
    </w:rPr>
  </w:style>
  <w:style w:type="paragraph" w:styleId="BalloonText">
    <w:name w:val="Balloon Text"/>
    <w:basedOn w:val="Normal"/>
    <w:link w:val="BalloonTextChar"/>
    <w:uiPriority w:val="99"/>
    <w:semiHidden/>
    <w:unhideWhenUsed/>
    <w:rsid w:val="00480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C39"/>
    <w:rPr>
      <w:rFonts w:ascii="Tahoma" w:hAnsi="Tahoma" w:cs="Tahoma"/>
      <w:sz w:val="16"/>
      <w:szCs w:val="16"/>
    </w:rPr>
  </w:style>
  <w:style w:type="paragraph" w:styleId="FootnoteText">
    <w:name w:val="footnote text"/>
    <w:basedOn w:val="Normal"/>
    <w:link w:val="FootnoteTextChar"/>
    <w:unhideWhenUsed/>
    <w:rsid w:val="001E44E4"/>
    <w:pPr>
      <w:spacing w:after="0" w:line="240" w:lineRule="auto"/>
    </w:pPr>
    <w:rPr>
      <w:sz w:val="20"/>
      <w:szCs w:val="20"/>
    </w:rPr>
  </w:style>
  <w:style w:type="character" w:customStyle="1" w:styleId="FootnoteTextChar">
    <w:name w:val="Footnote Text Char"/>
    <w:basedOn w:val="DefaultParagraphFont"/>
    <w:link w:val="FootnoteText"/>
    <w:uiPriority w:val="99"/>
    <w:rsid w:val="001E44E4"/>
    <w:rPr>
      <w:sz w:val="20"/>
      <w:szCs w:val="20"/>
    </w:rPr>
  </w:style>
  <w:style w:type="character" w:styleId="FootnoteReference">
    <w:name w:val="footnote reference"/>
    <w:basedOn w:val="DefaultParagraphFont"/>
    <w:unhideWhenUsed/>
    <w:rsid w:val="001E44E4"/>
    <w:rPr>
      <w:vertAlign w:val="superscript"/>
    </w:rPr>
  </w:style>
  <w:style w:type="character" w:customStyle="1" w:styleId="ListParagraphChar">
    <w:name w:val="List Paragraph Char"/>
    <w:aliases w:val="Bullets Char"/>
    <w:link w:val="ListParagraph"/>
    <w:uiPriority w:val="34"/>
    <w:rsid w:val="00D84886"/>
  </w:style>
  <w:style w:type="character" w:customStyle="1" w:styleId="Heading4Char">
    <w:name w:val="Heading 4 Char"/>
    <w:basedOn w:val="DefaultParagraphFont"/>
    <w:link w:val="Heading4"/>
    <w:uiPriority w:val="9"/>
    <w:semiHidden/>
    <w:rsid w:val="00AA5F35"/>
    <w:rPr>
      <w:rFonts w:asciiTheme="majorHAnsi" w:eastAsiaTheme="majorEastAsia" w:hAnsiTheme="majorHAnsi" w:cstheme="majorBidi"/>
      <w:b/>
      <w:bCs/>
      <w:i/>
      <w:iCs/>
      <w:color w:val="4F81BD" w:themeColor="accent1"/>
    </w:rPr>
  </w:style>
  <w:style w:type="paragraph" w:customStyle="1" w:styleId="BodyText-Numbered">
    <w:name w:val="Body Text - Numbered"/>
    <w:basedOn w:val="BodyText"/>
    <w:link w:val="BodyText-NumberedChar"/>
    <w:qFormat/>
    <w:rsid w:val="009D03F6"/>
    <w:pPr>
      <w:keepNext/>
      <w:numPr>
        <w:numId w:val="3"/>
      </w:numPr>
      <w:suppressAutoHyphens w:val="0"/>
      <w:autoSpaceDE/>
      <w:autoSpaceDN/>
      <w:adjustRightInd/>
      <w:spacing w:before="60" w:after="120" w:line="240" w:lineRule="auto"/>
      <w:textAlignment w:val="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9D03F6"/>
    <w:rPr>
      <w:rFonts w:ascii="Arial" w:eastAsia="Times New Roman" w:hAnsi="Arial" w:cs="Arial"/>
      <w:color w:val="000000"/>
      <w:szCs w:val="20"/>
      <w:lang w:val="en-US" w:eastAsia="en-GB"/>
    </w:rPr>
  </w:style>
  <w:style w:type="character" w:customStyle="1" w:styleId="tocprovlabel">
    <w:name w:val="tocprovlabel"/>
    <w:basedOn w:val="DefaultParagraphFont"/>
    <w:rsid w:val="00624D8A"/>
  </w:style>
  <w:style w:type="paragraph" w:customStyle="1" w:styleId="spacer">
    <w:name w:val="spacer"/>
    <w:basedOn w:val="Normal"/>
    <w:qFormat/>
    <w:rsid w:val="00530223"/>
    <w:pPr>
      <w:spacing w:after="0" w:line="240" w:lineRule="auto"/>
    </w:pPr>
    <w:rPr>
      <w:rFonts w:ascii="Arial" w:eastAsia="Times New Roman" w:hAnsi="Arial" w:cs="Times New Roman"/>
      <w:sz w:val="16"/>
      <w:lang w:val="en-GB" w:eastAsia="en-AU"/>
    </w:rPr>
  </w:style>
  <w:style w:type="paragraph" w:customStyle="1" w:styleId="TableText">
    <w:name w:val="Table Text"/>
    <w:basedOn w:val="Normal"/>
    <w:rsid w:val="00530223"/>
    <w:pPr>
      <w:autoSpaceDE w:val="0"/>
      <w:autoSpaceDN w:val="0"/>
      <w:adjustRightInd w:val="0"/>
      <w:spacing w:before="60" w:after="60" w:line="240" w:lineRule="atLeast"/>
    </w:pPr>
    <w:rPr>
      <w:rFonts w:ascii="Arial" w:eastAsia="Times New Roman" w:hAnsi="Arial" w:cs="GillSans"/>
      <w:sz w:val="20"/>
      <w:lang w:val="en-GB" w:eastAsia="en-AU"/>
    </w:rPr>
  </w:style>
  <w:style w:type="paragraph" w:styleId="Revision">
    <w:name w:val="Revision"/>
    <w:hidden/>
    <w:uiPriority w:val="99"/>
    <w:semiHidden/>
    <w:rsid w:val="004805D8"/>
    <w:pPr>
      <w:spacing w:after="0" w:line="240" w:lineRule="auto"/>
    </w:pPr>
  </w:style>
  <w:style w:type="paragraph" w:customStyle="1" w:styleId="Numbering-Firstlevel">
    <w:name w:val="Numbering - First level"/>
    <w:basedOn w:val="Normal"/>
    <w:qFormat/>
    <w:rsid w:val="00D335DD"/>
    <w:pPr>
      <w:keepLines/>
      <w:numPr>
        <w:numId w:val="5"/>
      </w:numPr>
      <w:spacing w:after="220" w:line="240" w:lineRule="auto"/>
      <w:jc w:val="both"/>
    </w:pPr>
    <w:rPr>
      <w:rFonts w:ascii="Arial" w:eastAsia="Times New Roman" w:hAnsi="Arial" w:cs="Times New Roman"/>
      <w:lang w:val="en-GB" w:eastAsia="en-GB"/>
    </w:rPr>
  </w:style>
  <w:style w:type="paragraph" w:customStyle="1" w:styleId="Numbering-Secondlevel">
    <w:name w:val="Numbering - Second level"/>
    <w:basedOn w:val="Normal"/>
    <w:qFormat/>
    <w:rsid w:val="00D335DD"/>
    <w:pPr>
      <w:keepLines/>
      <w:numPr>
        <w:ilvl w:val="1"/>
        <w:numId w:val="5"/>
      </w:numPr>
      <w:spacing w:after="120" w:line="240" w:lineRule="auto"/>
      <w:ind w:left="1077" w:hanging="357"/>
      <w:jc w:val="both"/>
    </w:pPr>
    <w:rPr>
      <w:rFonts w:ascii="Arial" w:eastAsia="Times New Roman" w:hAnsi="Arial" w:cs="Times New Roman"/>
      <w:lang w:val="en-GB" w:eastAsia="en-GB"/>
    </w:rPr>
  </w:style>
  <w:style w:type="paragraph" w:customStyle="1" w:styleId="Numbering-Thirdlevel">
    <w:name w:val="Numbering - Third level"/>
    <w:basedOn w:val="Normal"/>
    <w:qFormat/>
    <w:rsid w:val="00D335DD"/>
    <w:pPr>
      <w:keepLines/>
      <w:numPr>
        <w:ilvl w:val="2"/>
        <w:numId w:val="5"/>
      </w:numPr>
      <w:spacing w:after="120" w:line="240" w:lineRule="auto"/>
      <w:ind w:left="1621" w:hanging="181"/>
      <w:jc w:val="both"/>
    </w:pPr>
    <w:rPr>
      <w:rFonts w:ascii="Arial" w:eastAsia="Times New Roman" w:hAnsi="Arial"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868">
      <w:bodyDiv w:val="1"/>
      <w:marLeft w:val="0"/>
      <w:marRight w:val="0"/>
      <w:marTop w:val="0"/>
      <w:marBottom w:val="0"/>
      <w:divBdr>
        <w:top w:val="none" w:sz="0" w:space="0" w:color="auto"/>
        <w:left w:val="none" w:sz="0" w:space="0" w:color="auto"/>
        <w:bottom w:val="none" w:sz="0" w:space="0" w:color="auto"/>
        <w:right w:val="none" w:sz="0" w:space="0" w:color="auto"/>
      </w:divBdr>
      <w:divsChild>
        <w:div w:id="2049836138">
          <w:marLeft w:val="0"/>
          <w:marRight w:val="0"/>
          <w:marTop w:val="83"/>
          <w:marBottom w:val="0"/>
          <w:divBdr>
            <w:top w:val="none" w:sz="0" w:space="0" w:color="auto"/>
            <w:left w:val="none" w:sz="0" w:space="0" w:color="auto"/>
            <w:bottom w:val="none" w:sz="0" w:space="0" w:color="auto"/>
            <w:right w:val="none" w:sz="0" w:space="0" w:color="auto"/>
          </w:divBdr>
        </w:div>
        <w:div w:id="1390684677">
          <w:marLeft w:val="0"/>
          <w:marRight w:val="0"/>
          <w:marTop w:val="83"/>
          <w:marBottom w:val="0"/>
          <w:divBdr>
            <w:top w:val="none" w:sz="0" w:space="0" w:color="auto"/>
            <w:left w:val="none" w:sz="0" w:space="0" w:color="auto"/>
            <w:bottom w:val="none" w:sz="0" w:space="0" w:color="auto"/>
            <w:right w:val="none" w:sz="0" w:space="0" w:color="auto"/>
          </w:divBdr>
        </w:div>
        <w:div w:id="307980472">
          <w:marLeft w:val="0"/>
          <w:marRight w:val="0"/>
          <w:marTop w:val="83"/>
          <w:marBottom w:val="0"/>
          <w:divBdr>
            <w:top w:val="none" w:sz="0" w:space="0" w:color="auto"/>
            <w:left w:val="none" w:sz="0" w:space="0" w:color="auto"/>
            <w:bottom w:val="none" w:sz="0" w:space="0" w:color="auto"/>
            <w:right w:val="none" w:sz="0" w:space="0" w:color="auto"/>
          </w:divBdr>
        </w:div>
        <w:div w:id="2009482959">
          <w:marLeft w:val="0"/>
          <w:marRight w:val="0"/>
          <w:marTop w:val="83"/>
          <w:marBottom w:val="0"/>
          <w:divBdr>
            <w:top w:val="none" w:sz="0" w:space="0" w:color="auto"/>
            <w:left w:val="none" w:sz="0" w:space="0" w:color="auto"/>
            <w:bottom w:val="none" w:sz="0" w:space="0" w:color="auto"/>
            <w:right w:val="none" w:sz="0" w:space="0" w:color="auto"/>
          </w:divBdr>
        </w:div>
        <w:div w:id="440149052">
          <w:marLeft w:val="0"/>
          <w:marRight w:val="0"/>
          <w:marTop w:val="83"/>
          <w:marBottom w:val="0"/>
          <w:divBdr>
            <w:top w:val="none" w:sz="0" w:space="0" w:color="auto"/>
            <w:left w:val="none" w:sz="0" w:space="0" w:color="auto"/>
            <w:bottom w:val="none" w:sz="0" w:space="0" w:color="auto"/>
            <w:right w:val="none" w:sz="0" w:space="0" w:color="auto"/>
          </w:divBdr>
        </w:div>
        <w:div w:id="505949157">
          <w:marLeft w:val="0"/>
          <w:marRight w:val="0"/>
          <w:marTop w:val="83"/>
          <w:marBottom w:val="0"/>
          <w:divBdr>
            <w:top w:val="none" w:sz="0" w:space="0" w:color="auto"/>
            <w:left w:val="none" w:sz="0" w:space="0" w:color="auto"/>
            <w:bottom w:val="none" w:sz="0" w:space="0" w:color="auto"/>
            <w:right w:val="none" w:sz="0" w:space="0" w:color="auto"/>
          </w:divBdr>
        </w:div>
        <w:div w:id="405877524">
          <w:marLeft w:val="0"/>
          <w:marRight w:val="0"/>
          <w:marTop w:val="83"/>
          <w:marBottom w:val="0"/>
          <w:divBdr>
            <w:top w:val="none" w:sz="0" w:space="0" w:color="auto"/>
            <w:left w:val="none" w:sz="0" w:space="0" w:color="auto"/>
            <w:bottom w:val="none" w:sz="0" w:space="0" w:color="auto"/>
            <w:right w:val="none" w:sz="0" w:space="0" w:color="auto"/>
          </w:divBdr>
        </w:div>
        <w:div w:id="281116399">
          <w:marLeft w:val="0"/>
          <w:marRight w:val="0"/>
          <w:marTop w:val="83"/>
          <w:marBottom w:val="0"/>
          <w:divBdr>
            <w:top w:val="none" w:sz="0" w:space="0" w:color="auto"/>
            <w:left w:val="none" w:sz="0" w:space="0" w:color="auto"/>
            <w:bottom w:val="none" w:sz="0" w:space="0" w:color="auto"/>
            <w:right w:val="none" w:sz="0" w:space="0" w:color="auto"/>
          </w:divBdr>
        </w:div>
        <w:div w:id="1347518158">
          <w:marLeft w:val="0"/>
          <w:marRight w:val="0"/>
          <w:marTop w:val="83"/>
          <w:marBottom w:val="0"/>
          <w:divBdr>
            <w:top w:val="none" w:sz="0" w:space="0" w:color="auto"/>
            <w:left w:val="none" w:sz="0" w:space="0" w:color="auto"/>
            <w:bottom w:val="none" w:sz="0" w:space="0" w:color="auto"/>
            <w:right w:val="none" w:sz="0" w:space="0" w:color="auto"/>
          </w:divBdr>
        </w:div>
        <w:div w:id="1237399670">
          <w:marLeft w:val="0"/>
          <w:marRight w:val="0"/>
          <w:marTop w:val="83"/>
          <w:marBottom w:val="0"/>
          <w:divBdr>
            <w:top w:val="none" w:sz="0" w:space="0" w:color="auto"/>
            <w:left w:val="none" w:sz="0" w:space="0" w:color="auto"/>
            <w:bottom w:val="none" w:sz="0" w:space="0" w:color="auto"/>
            <w:right w:val="none" w:sz="0" w:space="0" w:color="auto"/>
          </w:divBdr>
        </w:div>
        <w:div w:id="814446891">
          <w:marLeft w:val="0"/>
          <w:marRight w:val="0"/>
          <w:marTop w:val="83"/>
          <w:marBottom w:val="0"/>
          <w:divBdr>
            <w:top w:val="none" w:sz="0" w:space="0" w:color="auto"/>
            <w:left w:val="none" w:sz="0" w:space="0" w:color="auto"/>
            <w:bottom w:val="none" w:sz="0" w:space="0" w:color="auto"/>
            <w:right w:val="none" w:sz="0" w:space="0" w:color="auto"/>
          </w:divBdr>
        </w:div>
        <w:div w:id="323239177">
          <w:marLeft w:val="0"/>
          <w:marRight w:val="0"/>
          <w:marTop w:val="83"/>
          <w:marBottom w:val="0"/>
          <w:divBdr>
            <w:top w:val="none" w:sz="0" w:space="0" w:color="auto"/>
            <w:left w:val="none" w:sz="0" w:space="0" w:color="auto"/>
            <w:bottom w:val="none" w:sz="0" w:space="0" w:color="auto"/>
            <w:right w:val="none" w:sz="0" w:space="0" w:color="auto"/>
          </w:divBdr>
        </w:div>
        <w:div w:id="583533238">
          <w:marLeft w:val="0"/>
          <w:marRight w:val="0"/>
          <w:marTop w:val="83"/>
          <w:marBottom w:val="0"/>
          <w:divBdr>
            <w:top w:val="none" w:sz="0" w:space="0" w:color="auto"/>
            <w:left w:val="none" w:sz="0" w:space="0" w:color="auto"/>
            <w:bottom w:val="none" w:sz="0" w:space="0" w:color="auto"/>
            <w:right w:val="none" w:sz="0" w:space="0" w:color="auto"/>
          </w:divBdr>
        </w:div>
      </w:divsChild>
    </w:div>
    <w:div w:id="78867046">
      <w:bodyDiv w:val="1"/>
      <w:marLeft w:val="0"/>
      <w:marRight w:val="0"/>
      <w:marTop w:val="0"/>
      <w:marBottom w:val="0"/>
      <w:divBdr>
        <w:top w:val="none" w:sz="0" w:space="0" w:color="auto"/>
        <w:left w:val="none" w:sz="0" w:space="0" w:color="auto"/>
        <w:bottom w:val="none" w:sz="0" w:space="0" w:color="auto"/>
        <w:right w:val="none" w:sz="0" w:space="0" w:color="auto"/>
      </w:divBdr>
    </w:div>
    <w:div w:id="91167245">
      <w:bodyDiv w:val="1"/>
      <w:marLeft w:val="0"/>
      <w:marRight w:val="0"/>
      <w:marTop w:val="0"/>
      <w:marBottom w:val="0"/>
      <w:divBdr>
        <w:top w:val="none" w:sz="0" w:space="0" w:color="auto"/>
        <w:left w:val="none" w:sz="0" w:space="0" w:color="auto"/>
        <w:bottom w:val="none" w:sz="0" w:space="0" w:color="auto"/>
        <w:right w:val="none" w:sz="0" w:space="0" w:color="auto"/>
      </w:divBdr>
    </w:div>
    <w:div w:id="252515584">
      <w:bodyDiv w:val="1"/>
      <w:marLeft w:val="0"/>
      <w:marRight w:val="0"/>
      <w:marTop w:val="0"/>
      <w:marBottom w:val="0"/>
      <w:divBdr>
        <w:top w:val="none" w:sz="0" w:space="0" w:color="auto"/>
        <w:left w:val="none" w:sz="0" w:space="0" w:color="auto"/>
        <w:bottom w:val="none" w:sz="0" w:space="0" w:color="auto"/>
        <w:right w:val="none" w:sz="0" w:space="0" w:color="auto"/>
      </w:divBdr>
    </w:div>
    <w:div w:id="257099493">
      <w:bodyDiv w:val="1"/>
      <w:marLeft w:val="0"/>
      <w:marRight w:val="0"/>
      <w:marTop w:val="0"/>
      <w:marBottom w:val="0"/>
      <w:divBdr>
        <w:top w:val="none" w:sz="0" w:space="0" w:color="auto"/>
        <w:left w:val="none" w:sz="0" w:space="0" w:color="auto"/>
        <w:bottom w:val="none" w:sz="0" w:space="0" w:color="auto"/>
        <w:right w:val="none" w:sz="0" w:space="0" w:color="auto"/>
      </w:divBdr>
    </w:div>
    <w:div w:id="299041991">
      <w:bodyDiv w:val="1"/>
      <w:marLeft w:val="0"/>
      <w:marRight w:val="0"/>
      <w:marTop w:val="0"/>
      <w:marBottom w:val="0"/>
      <w:divBdr>
        <w:top w:val="none" w:sz="0" w:space="0" w:color="auto"/>
        <w:left w:val="none" w:sz="0" w:space="0" w:color="auto"/>
        <w:bottom w:val="none" w:sz="0" w:space="0" w:color="auto"/>
        <w:right w:val="none" w:sz="0" w:space="0" w:color="auto"/>
      </w:divBdr>
      <w:divsChild>
        <w:div w:id="1403796308">
          <w:marLeft w:val="0"/>
          <w:marRight w:val="0"/>
          <w:marTop w:val="0"/>
          <w:marBottom w:val="0"/>
          <w:divBdr>
            <w:top w:val="none" w:sz="0" w:space="0" w:color="auto"/>
            <w:left w:val="none" w:sz="0" w:space="0" w:color="auto"/>
            <w:bottom w:val="none" w:sz="0" w:space="0" w:color="auto"/>
            <w:right w:val="none" w:sz="0" w:space="0" w:color="auto"/>
          </w:divBdr>
          <w:divsChild>
            <w:div w:id="2039352239">
              <w:marLeft w:val="0"/>
              <w:marRight w:val="0"/>
              <w:marTop w:val="0"/>
              <w:marBottom w:val="0"/>
              <w:divBdr>
                <w:top w:val="none" w:sz="0" w:space="0" w:color="auto"/>
                <w:left w:val="none" w:sz="0" w:space="0" w:color="auto"/>
                <w:bottom w:val="none" w:sz="0" w:space="0" w:color="auto"/>
                <w:right w:val="none" w:sz="0" w:space="0" w:color="auto"/>
              </w:divBdr>
              <w:divsChild>
                <w:div w:id="109516981">
                  <w:marLeft w:val="0"/>
                  <w:marRight w:val="0"/>
                  <w:marTop w:val="105"/>
                  <w:marBottom w:val="0"/>
                  <w:divBdr>
                    <w:top w:val="none" w:sz="0" w:space="0" w:color="auto"/>
                    <w:left w:val="none" w:sz="0" w:space="0" w:color="auto"/>
                    <w:bottom w:val="none" w:sz="0" w:space="0" w:color="auto"/>
                    <w:right w:val="none" w:sz="0" w:space="0" w:color="auto"/>
                  </w:divBdr>
                  <w:divsChild>
                    <w:div w:id="204606285">
                      <w:marLeft w:val="450"/>
                      <w:marRight w:val="225"/>
                      <w:marTop w:val="0"/>
                      <w:marBottom w:val="0"/>
                      <w:divBdr>
                        <w:top w:val="none" w:sz="0" w:space="0" w:color="auto"/>
                        <w:left w:val="none" w:sz="0" w:space="0" w:color="auto"/>
                        <w:bottom w:val="none" w:sz="0" w:space="0" w:color="auto"/>
                        <w:right w:val="none" w:sz="0" w:space="0" w:color="auto"/>
                      </w:divBdr>
                      <w:divsChild>
                        <w:div w:id="1731801599">
                          <w:marLeft w:val="0"/>
                          <w:marRight w:val="0"/>
                          <w:marTop w:val="0"/>
                          <w:marBottom w:val="600"/>
                          <w:divBdr>
                            <w:top w:val="single" w:sz="6" w:space="0" w:color="314664"/>
                            <w:left w:val="single" w:sz="6" w:space="0" w:color="314664"/>
                            <w:bottom w:val="single" w:sz="6" w:space="0" w:color="314664"/>
                            <w:right w:val="single" w:sz="6" w:space="0" w:color="314664"/>
                          </w:divBdr>
                          <w:divsChild>
                            <w:div w:id="2042432772">
                              <w:marLeft w:val="0"/>
                              <w:marRight w:val="0"/>
                              <w:marTop w:val="0"/>
                              <w:marBottom w:val="0"/>
                              <w:divBdr>
                                <w:top w:val="none" w:sz="0" w:space="0" w:color="auto"/>
                                <w:left w:val="none" w:sz="0" w:space="0" w:color="auto"/>
                                <w:bottom w:val="none" w:sz="0" w:space="0" w:color="auto"/>
                                <w:right w:val="none" w:sz="0" w:space="0" w:color="auto"/>
                              </w:divBdr>
                              <w:divsChild>
                                <w:div w:id="95097730">
                                  <w:marLeft w:val="0"/>
                                  <w:marRight w:val="0"/>
                                  <w:marTop w:val="0"/>
                                  <w:marBottom w:val="0"/>
                                  <w:divBdr>
                                    <w:top w:val="none" w:sz="0" w:space="0" w:color="auto"/>
                                    <w:left w:val="none" w:sz="0" w:space="0" w:color="auto"/>
                                    <w:bottom w:val="none" w:sz="0" w:space="0" w:color="auto"/>
                                    <w:right w:val="none" w:sz="0" w:space="0" w:color="auto"/>
                                  </w:divBdr>
                                  <w:divsChild>
                                    <w:div w:id="777598863">
                                      <w:marLeft w:val="0"/>
                                      <w:marRight w:val="0"/>
                                      <w:marTop w:val="0"/>
                                      <w:marBottom w:val="0"/>
                                      <w:divBdr>
                                        <w:top w:val="none" w:sz="0" w:space="0" w:color="auto"/>
                                        <w:left w:val="none" w:sz="0" w:space="0" w:color="auto"/>
                                        <w:bottom w:val="none" w:sz="0" w:space="0" w:color="auto"/>
                                        <w:right w:val="none" w:sz="0" w:space="0" w:color="auto"/>
                                      </w:divBdr>
                                      <w:divsChild>
                                        <w:div w:id="154539381">
                                          <w:marLeft w:val="0"/>
                                          <w:marRight w:val="0"/>
                                          <w:marTop w:val="0"/>
                                          <w:marBottom w:val="0"/>
                                          <w:divBdr>
                                            <w:top w:val="none" w:sz="0" w:space="0" w:color="auto"/>
                                            <w:left w:val="none" w:sz="0" w:space="0" w:color="auto"/>
                                            <w:bottom w:val="none" w:sz="0" w:space="0" w:color="auto"/>
                                            <w:right w:val="none" w:sz="0" w:space="0" w:color="auto"/>
                                          </w:divBdr>
                                          <w:divsChild>
                                            <w:div w:id="758596663">
                                              <w:marLeft w:val="0"/>
                                              <w:marRight w:val="0"/>
                                              <w:marTop w:val="0"/>
                                              <w:marBottom w:val="0"/>
                                              <w:divBdr>
                                                <w:top w:val="none" w:sz="0" w:space="0" w:color="auto"/>
                                                <w:left w:val="none" w:sz="0" w:space="0" w:color="auto"/>
                                                <w:bottom w:val="none" w:sz="0" w:space="0" w:color="auto"/>
                                                <w:right w:val="none" w:sz="0" w:space="0" w:color="auto"/>
                                              </w:divBdr>
                                              <w:divsChild>
                                                <w:div w:id="842475941">
                                                  <w:marLeft w:val="0"/>
                                                  <w:marRight w:val="0"/>
                                                  <w:marTop w:val="0"/>
                                                  <w:marBottom w:val="0"/>
                                                  <w:divBdr>
                                                    <w:top w:val="none" w:sz="0" w:space="0" w:color="auto"/>
                                                    <w:left w:val="none" w:sz="0" w:space="0" w:color="auto"/>
                                                    <w:bottom w:val="none" w:sz="0" w:space="0" w:color="auto"/>
                                                    <w:right w:val="none" w:sz="0" w:space="0" w:color="auto"/>
                                                  </w:divBdr>
                                                  <w:divsChild>
                                                    <w:div w:id="2059236875">
                                                      <w:marLeft w:val="0"/>
                                                      <w:marRight w:val="0"/>
                                                      <w:marTop w:val="0"/>
                                                      <w:marBottom w:val="0"/>
                                                      <w:divBdr>
                                                        <w:top w:val="none" w:sz="0" w:space="0" w:color="auto"/>
                                                        <w:left w:val="none" w:sz="0" w:space="0" w:color="auto"/>
                                                        <w:bottom w:val="none" w:sz="0" w:space="0" w:color="auto"/>
                                                        <w:right w:val="none" w:sz="0" w:space="0" w:color="auto"/>
                                                      </w:divBdr>
                                                      <w:divsChild>
                                                        <w:div w:id="1968118969">
                                                          <w:marLeft w:val="0"/>
                                                          <w:marRight w:val="0"/>
                                                          <w:marTop w:val="0"/>
                                                          <w:marBottom w:val="0"/>
                                                          <w:divBdr>
                                                            <w:top w:val="none" w:sz="0" w:space="0" w:color="auto"/>
                                                            <w:left w:val="none" w:sz="0" w:space="0" w:color="auto"/>
                                                            <w:bottom w:val="none" w:sz="0" w:space="0" w:color="auto"/>
                                                            <w:right w:val="none" w:sz="0" w:space="0" w:color="auto"/>
                                                          </w:divBdr>
                                                          <w:divsChild>
                                                            <w:div w:id="1373649814">
                                                              <w:marLeft w:val="0"/>
                                                              <w:marRight w:val="0"/>
                                                              <w:marTop w:val="0"/>
                                                              <w:marBottom w:val="0"/>
                                                              <w:divBdr>
                                                                <w:top w:val="none" w:sz="0" w:space="0" w:color="auto"/>
                                                                <w:left w:val="none" w:sz="0" w:space="0" w:color="auto"/>
                                                                <w:bottom w:val="none" w:sz="0" w:space="0" w:color="auto"/>
                                                                <w:right w:val="none" w:sz="0" w:space="0" w:color="auto"/>
                                                              </w:divBdr>
                                                              <w:divsChild>
                                                                <w:div w:id="33309499">
                                                                  <w:marLeft w:val="0"/>
                                                                  <w:marRight w:val="0"/>
                                                                  <w:marTop w:val="0"/>
                                                                  <w:marBottom w:val="0"/>
                                                                  <w:divBdr>
                                                                    <w:top w:val="none" w:sz="0" w:space="0" w:color="auto"/>
                                                                    <w:left w:val="none" w:sz="0" w:space="0" w:color="auto"/>
                                                                    <w:bottom w:val="none" w:sz="0" w:space="0" w:color="auto"/>
                                                                    <w:right w:val="none" w:sz="0" w:space="0" w:color="auto"/>
                                                                  </w:divBdr>
                                                                  <w:divsChild>
                                                                    <w:div w:id="17238148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8551473">
      <w:bodyDiv w:val="1"/>
      <w:marLeft w:val="0"/>
      <w:marRight w:val="0"/>
      <w:marTop w:val="0"/>
      <w:marBottom w:val="0"/>
      <w:divBdr>
        <w:top w:val="none" w:sz="0" w:space="0" w:color="auto"/>
        <w:left w:val="none" w:sz="0" w:space="0" w:color="auto"/>
        <w:bottom w:val="none" w:sz="0" w:space="0" w:color="auto"/>
        <w:right w:val="none" w:sz="0" w:space="0" w:color="auto"/>
      </w:divBdr>
    </w:div>
    <w:div w:id="611130519">
      <w:bodyDiv w:val="1"/>
      <w:marLeft w:val="0"/>
      <w:marRight w:val="0"/>
      <w:marTop w:val="0"/>
      <w:marBottom w:val="0"/>
      <w:divBdr>
        <w:top w:val="none" w:sz="0" w:space="0" w:color="auto"/>
        <w:left w:val="none" w:sz="0" w:space="0" w:color="auto"/>
        <w:bottom w:val="none" w:sz="0" w:space="0" w:color="auto"/>
        <w:right w:val="none" w:sz="0" w:space="0" w:color="auto"/>
      </w:divBdr>
      <w:divsChild>
        <w:div w:id="1751196096">
          <w:marLeft w:val="0"/>
          <w:marRight w:val="0"/>
          <w:marTop w:val="83"/>
          <w:marBottom w:val="0"/>
          <w:divBdr>
            <w:top w:val="none" w:sz="0" w:space="0" w:color="auto"/>
            <w:left w:val="none" w:sz="0" w:space="0" w:color="auto"/>
            <w:bottom w:val="none" w:sz="0" w:space="0" w:color="auto"/>
            <w:right w:val="none" w:sz="0" w:space="0" w:color="auto"/>
          </w:divBdr>
        </w:div>
        <w:div w:id="1338582895">
          <w:marLeft w:val="0"/>
          <w:marRight w:val="0"/>
          <w:marTop w:val="83"/>
          <w:marBottom w:val="0"/>
          <w:divBdr>
            <w:top w:val="none" w:sz="0" w:space="0" w:color="auto"/>
            <w:left w:val="none" w:sz="0" w:space="0" w:color="auto"/>
            <w:bottom w:val="none" w:sz="0" w:space="0" w:color="auto"/>
            <w:right w:val="none" w:sz="0" w:space="0" w:color="auto"/>
          </w:divBdr>
        </w:div>
        <w:div w:id="1579436958">
          <w:marLeft w:val="0"/>
          <w:marRight w:val="0"/>
          <w:marTop w:val="83"/>
          <w:marBottom w:val="0"/>
          <w:divBdr>
            <w:top w:val="none" w:sz="0" w:space="0" w:color="auto"/>
            <w:left w:val="none" w:sz="0" w:space="0" w:color="auto"/>
            <w:bottom w:val="none" w:sz="0" w:space="0" w:color="auto"/>
            <w:right w:val="none" w:sz="0" w:space="0" w:color="auto"/>
          </w:divBdr>
        </w:div>
        <w:div w:id="2052921660">
          <w:marLeft w:val="0"/>
          <w:marRight w:val="0"/>
          <w:marTop w:val="83"/>
          <w:marBottom w:val="0"/>
          <w:divBdr>
            <w:top w:val="none" w:sz="0" w:space="0" w:color="auto"/>
            <w:left w:val="none" w:sz="0" w:space="0" w:color="auto"/>
            <w:bottom w:val="none" w:sz="0" w:space="0" w:color="auto"/>
            <w:right w:val="none" w:sz="0" w:space="0" w:color="auto"/>
          </w:divBdr>
        </w:div>
        <w:div w:id="353967401">
          <w:marLeft w:val="0"/>
          <w:marRight w:val="0"/>
          <w:marTop w:val="83"/>
          <w:marBottom w:val="0"/>
          <w:divBdr>
            <w:top w:val="none" w:sz="0" w:space="0" w:color="auto"/>
            <w:left w:val="none" w:sz="0" w:space="0" w:color="auto"/>
            <w:bottom w:val="none" w:sz="0" w:space="0" w:color="auto"/>
            <w:right w:val="none" w:sz="0" w:space="0" w:color="auto"/>
          </w:divBdr>
        </w:div>
        <w:div w:id="1216237445">
          <w:marLeft w:val="0"/>
          <w:marRight w:val="0"/>
          <w:marTop w:val="83"/>
          <w:marBottom w:val="0"/>
          <w:divBdr>
            <w:top w:val="none" w:sz="0" w:space="0" w:color="auto"/>
            <w:left w:val="none" w:sz="0" w:space="0" w:color="auto"/>
            <w:bottom w:val="none" w:sz="0" w:space="0" w:color="auto"/>
            <w:right w:val="none" w:sz="0" w:space="0" w:color="auto"/>
          </w:divBdr>
        </w:div>
        <w:div w:id="792359012">
          <w:marLeft w:val="0"/>
          <w:marRight w:val="0"/>
          <w:marTop w:val="83"/>
          <w:marBottom w:val="0"/>
          <w:divBdr>
            <w:top w:val="none" w:sz="0" w:space="0" w:color="auto"/>
            <w:left w:val="none" w:sz="0" w:space="0" w:color="auto"/>
            <w:bottom w:val="none" w:sz="0" w:space="0" w:color="auto"/>
            <w:right w:val="none" w:sz="0" w:space="0" w:color="auto"/>
          </w:divBdr>
        </w:div>
        <w:div w:id="1573390101">
          <w:marLeft w:val="0"/>
          <w:marRight w:val="0"/>
          <w:marTop w:val="83"/>
          <w:marBottom w:val="0"/>
          <w:divBdr>
            <w:top w:val="none" w:sz="0" w:space="0" w:color="auto"/>
            <w:left w:val="none" w:sz="0" w:space="0" w:color="auto"/>
            <w:bottom w:val="none" w:sz="0" w:space="0" w:color="auto"/>
            <w:right w:val="none" w:sz="0" w:space="0" w:color="auto"/>
          </w:divBdr>
        </w:div>
        <w:div w:id="866525911">
          <w:marLeft w:val="0"/>
          <w:marRight w:val="0"/>
          <w:marTop w:val="83"/>
          <w:marBottom w:val="0"/>
          <w:divBdr>
            <w:top w:val="none" w:sz="0" w:space="0" w:color="auto"/>
            <w:left w:val="none" w:sz="0" w:space="0" w:color="auto"/>
            <w:bottom w:val="none" w:sz="0" w:space="0" w:color="auto"/>
            <w:right w:val="none" w:sz="0" w:space="0" w:color="auto"/>
          </w:divBdr>
        </w:div>
        <w:div w:id="660741079">
          <w:marLeft w:val="0"/>
          <w:marRight w:val="0"/>
          <w:marTop w:val="83"/>
          <w:marBottom w:val="0"/>
          <w:divBdr>
            <w:top w:val="none" w:sz="0" w:space="0" w:color="auto"/>
            <w:left w:val="none" w:sz="0" w:space="0" w:color="auto"/>
            <w:bottom w:val="none" w:sz="0" w:space="0" w:color="auto"/>
            <w:right w:val="none" w:sz="0" w:space="0" w:color="auto"/>
          </w:divBdr>
        </w:div>
        <w:div w:id="599334141">
          <w:marLeft w:val="0"/>
          <w:marRight w:val="0"/>
          <w:marTop w:val="83"/>
          <w:marBottom w:val="0"/>
          <w:divBdr>
            <w:top w:val="none" w:sz="0" w:space="0" w:color="auto"/>
            <w:left w:val="none" w:sz="0" w:space="0" w:color="auto"/>
            <w:bottom w:val="none" w:sz="0" w:space="0" w:color="auto"/>
            <w:right w:val="none" w:sz="0" w:space="0" w:color="auto"/>
          </w:divBdr>
        </w:div>
        <w:div w:id="542138655">
          <w:marLeft w:val="0"/>
          <w:marRight w:val="0"/>
          <w:marTop w:val="83"/>
          <w:marBottom w:val="0"/>
          <w:divBdr>
            <w:top w:val="none" w:sz="0" w:space="0" w:color="auto"/>
            <w:left w:val="none" w:sz="0" w:space="0" w:color="auto"/>
            <w:bottom w:val="none" w:sz="0" w:space="0" w:color="auto"/>
            <w:right w:val="none" w:sz="0" w:space="0" w:color="auto"/>
          </w:divBdr>
        </w:div>
        <w:div w:id="331301433">
          <w:marLeft w:val="0"/>
          <w:marRight w:val="0"/>
          <w:marTop w:val="83"/>
          <w:marBottom w:val="0"/>
          <w:divBdr>
            <w:top w:val="none" w:sz="0" w:space="0" w:color="auto"/>
            <w:left w:val="none" w:sz="0" w:space="0" w:color="auto"/>
            <w:bottom w:val="none" w:sz="0" w:space="0" w:color="auto"/>
            <w:right w:val="none" w:sz="0" w:space="0" w:color="auto"/>
          </w:divBdr>
        </w:div>
      </w:divsChild>
    </w:div>
    <w:div w:id="651561233">
      <w:bodyDiv w:val="1"/>
      <w:marLeft w:val="0"/>
      <w:marRight w:val="0"/>
      <w:marTop w:val="0"/>
      <w:marBottom w:val="0"/>
      <w:divBdr>
        <w:top w:val="none" w:sz="0" w:space="0" w:color="auto"/>
        <w:left w:val="none" w:sz="0" w:space="0" w:color="auto"/>
        <w:bottom w:val="none" w:sz="0" w:space="0" w:color="auto"/>
        <w:right w:val="none" w:sz="0" w:space="0" w:color="auto"/>
      </w:divBdr>
    </w:div>
    <w:div w:id="781649446">
      <w:bodyDiv w:val="1"/>
      <w:marLeft w:val="0"/>
      <w:marRight w:val="0"/>
      <w:marTop w:val="0"/>
      <w:marBottom w:val="0"/>
      <w:divBdr>
        <w:top w:val="none" w:sz="0" w:space="0" w:color="auto"/>
        <w:left w:val="none" w:sz="0" w:space="0" w:color="auto"/>
        <w:bottom w:val="none" w:sz="0" w:space="0" w:color="auto"/>
        <w:right w:val="none" w:sz="0" w:space="0" w:color="auto"/>
      </w:divBdr>
      <w:divsChild>
        <w:div w:id="912204822">
          <w:marLeft w:val="0"/>
          <w:marRight w:val="0"/>
          <w:marTop w:val="83"/>
          <w:marBottom w:val="0"/>
          <w:divBdr>
            <w:top w:val="none" w:sz="0" w:space="0" w:color="auto"/>
            <w:left w:val="none" w:sz="0" w:space="0" w:color="auto"/>
            <w:bottom w:val="none" w:sz="0" w:space="0" w:color="auto"/>
            <w:right w:val="none" w:sz="0" w:space="0" w:color="auto"/>
          </w:divBdr>
        </w:div>
        <w:div w:id="1711303287">
          <w:marLeft w:val="0"/>
          <w:marRight w:val="0"/>
          <w:marTop w:val="83"/>
          <w:marBottom w:val="0"/>
          <w:divBdr>
            <w:top w:val="none" w:sz="0" w:space="0" w:color="auto"/>
            <w:left w:val="none" w:sz="0" w:space="0" w:color="auto"/>
            <w:bottom w:val="none" w:sz="0" w:space="0" w:color="auto"/>
            <w:right w:val="none" w:sz="0" w:space="0" w:color="auto"/>
          </w:divBdr>
        </w:div>
        <w:div w:id="1905411970">
          <w:marLeft w:val="0"/>
          <w:marRight w:val="0"/>
          <w:marTop w:val="83"/>
          <w:marBottom w:val="0"/>
          <w:divBdr>
            <w:top w:val="none" w:sz="0" w:space="0" w:color="auto"/>
            <w:left w:val="none" w:sz="0" w:space="0" w:color="auto"/>
            <w:bottom w:val="none" w:sz="0" w:space="0" w:color="auto"/>
            <w:right w:val="none" w:sz="0" w:space="0" w:color="auto"/>
          </w:divBdr>
        </w:div>
        <w:div w:id="1671132609">
          <w:marLeft w:val="0"/>
          <w:marRight w:val="0"/>
          <w:marTop w:val="83"/>
          <w:marBottom w:val="0"/>
          <w:divBdr>
            <w:top w:val="none" w:sz="0" w:space="0" w:color="auto"/>
            <w:left w:val="none" w:sz="0" w:space="0" w:color="auto"/>
            <w:bottom w:val="none" w:sz="0" w:space="0" w:color="auto"/>
            <w:right w:val="none" w:sz="0" w:space="0" w:color="auto"/>
          </w:divBdr>
        </w:div>
        <w:div w:id="656425106">
          <w:marLeft w:val="0"/>
          <w:marRight w:val="0"/>
          <w:marTop w:val="83"/>
          <w:marBottom w:val="0"/>
          <w:divBdr>
            <w:top w:val="none" w:sz="0" w:space="0" w:color="auto"/>
            <w:left w:val="none" w:sz="0" w:space="0" w:color="auto"/>
            <w:bottom w:val="none" w:sz="0" w:space="0" w:color="auto"/>
            <w:right w:val="none" w:sz="0" w:space="0" w:color="auto"/>
          </w:divBdr>
        </w:div>
        <w:div w:id="856575035">
          <w:marLeft w:val="0"/>
          <w:marRight w:val="0"/>
          <w:marTop w:val="83"/>
          <w:marBottom w:val="0"/>
          <w:divBdr>
            <w:top w:val="none" w:sz="0" w:space="0" w:color="auto"/>
            <w:left w:val="none" w:sz="0" w:space="0" w:color="auto"/>
            <w:bottom w:val="none" w:sz="0" w:space="0" w:color="auto"/>
            <w:right w:val="none" w:sz="0" w:space="0" w:color="auto"/>
          </w:divBdr>
        </w:div>
        <w:div w:id="47345944">
          <w:marLeft w:val="0"/>
          <w:marRight w:val="0"/>
          <w:marTop w:val="83"/>
          <w:marBottom w:val="0"/>
          <w:divBdr>
            <w:top w:val="none" w:sz="0" w:space="0" w:color="auto"/>
            <w:left w:val="none" w:sz="0" w:space="0" w:color="auto"/>
            <w:bottom w:val="none" w:sz="0" w:space="0" w:color="auto"/>
            <w:right w:val="none" w:sz="0" w:space="0" w:color="auto"/>
          </w:divBdr>
        </w:div>
        <w:div w:id="1216158331">
          <w:marLeft w:val="0"/>
          <w:marRight w:val="0"/>
          <w:marTop w:val="83"/>
          <w:marBottom w:val="0"/>
          <w:divBdr>
            <w:top w:val="none" w:sz="0" w:space="0" w:color="auto"/>
            <w:left w:val="none" w:sz="0" w:space="0" w:color="auto"/>
            <w:bottom w:val="none" w:sz="0" w:space="0" w:color="auto"/>
            <w:right w:val="none" w:sz="0" w:space="0" w:color="auto"/>
          </w:divBdr>
        </w:div>
        <w:div w:id="2076277533">
          <w:marLeft w:val="0"/>
          <w:marRight w:val="0"/>
          <w:marTop w:val="83"/>
          <w:marBottom w:val="0"/>
          <w:divBdr>
            <w:top w:val="none" w:sz="0" w:space="0" w:color="auto"/>
            <w:left w:val="none" w:sz="0" w:space="0" w:color="auto"/>
            <w:bottom w:val="none" w:sz="0" w:space="0" w:color="auto"/>
            <w:right w:val="none" w:sz="0" w:space="0" w:color="auto"/>
          </w:divBdr>
        </w:div>
        <w:div w:id="744842503">
          <w:marLeft w:val="0"/>
          <w:marRight w:val="0"/>
          <w:marTop w:val="83"/>
          <w:marBottom w:val="0"/>
          <w:divBdr>
            <w:top w:val="none" w:sz="0" w:space="0" w:color="auto"/>
            <w:left w:val="none" w:sz="0" w:space="0" w:color="auto"/>
            <w:bottom w:val="none" w:sz="0" w:space="0" w:color="auto"/>
            <w:right w:val="none" w:sz="0" w:space="0" w:color="auto"/>
          </w:divBdr>
        </w:div>
        <w:div w:id="1931306828">
          <w:marLeft w:val="0"/>
          <w:marRight w:val="0"/>
          <w:marTop w:val="83"/>
          <w:marBottom w:val="0"/>
          <w:divBdr>
            <w:top w:val="none" w:sz="0" w:space="0" w:color="auto"/>
            <w:left w:val="none" w:sz="0" w:space="0" w:color="auto"/>
            <w:bottom w:val="none" w:sz="0" w:space="0" w:color="auto"/>
            <w:right w:val="none" w:sz="0" w:space="0" w:color="auto"/>
          </w:divBdr>
        </w:div>
        <w:div w:id="1736660566">
          <w:marLeft w:val="0"/>
          <w:marRight w:val="0"/>
          <w:marTop w:val="83"/>
          <w:marBottom w:val="0"/>
          <w:divBdr>
            <w:top w:val="none" w:sz="0" w:space="0" w:color="auto"/>
            <w:left w:val="none" w:sz="0" w:space="0" w:color="auto"/>
            <w:bottom w:val="none" w:sz="0" w:space="0" w:color="auto"/>
            <w:right w:val="none" w:sz="0" w:space="0" w:color="auto"/>
          </w:divBdr>
        </w:div>
        <w:div w:id="1371496448">
          <w:marLeft w:val="0"/>
          <w:marRight w:val="0"/>
          <w:marTop w:val="83"/>
          <w:marBottom w:val="0"/>
          <w:divBdr>
            <w:top w:val="none" w:sz="0" w:space="0" w:color="auto"/>
            <w:left w:val="none" w:sz="0" w:space="0" w:color="auto"/>
            <w:bottom w:val="none" w:sz="0" w:space="0" w:color="auto"/>
            <w:right w:val="none" w:sz="0" w:space="0" w:color="auto"/>
          </w:divBdr>
        </w:div>
        <w:div w:id="175506477">
          <w:marLeft w:val="0"/>
          <w:marRight w:val="0"/>
          <w:marTop w:val="83"/>
          <w:marBottom w:val="0"/>
          <w:divBdr>
            <w:top w:val="none" w:sz="0" w:space="0" w:color="auto"/>
            <w:left w:val="none" w:sz="0" w:space="0" w:color="auto"/>
            <w:bottom w:val="none" w:sz="0" w:space="0" w:color="auto"/>
            <w:right w:val="none" w:sz="0" w:space="0" w:color="auto"/>
          </w:divBdr>
        </w:div>
        <w:div w:id="1118328526">
          <w:marLeft w:val="0"/>
          <w:marRight w:val="0"/>
          <w:marTop w:val="83"/>
          <w:marBottom w:val="0"/>
          <w:divBdr>
            <w:top w:val="none" w:sz="0" w:space="0" w:color="auto"/>
            <w:left w:val="none" w:sz="0" w:space="0" w:color="auto"/>
            <w:bottom w:val="none" w:sz="0" w:space="0" w:color="auto"/>
            <w:right w:val="none" w:sz="0" w:space="0" w:color="auto"/>
          </w:divBdr>
        </w:div>
        <w:div w:id="1045518674">
          <w:marLeft w:val="0"/>
          <w:marRight w:val="0"/>
          <w:marTop w:val="83"/>
          <w:marBottom w:val="0"/>
          <w:divBdr>
            <w:top w:val="none" w:sz="0" w:space="0" w:color="auto"/>
            <w:left w:val="none" w:sz="0" w:space="0" w:color="auto"/>
            <w:bottom w:val="none" w:sz="0" w:space="0" w:color="auto"/>
            <w:right w:val="none" w:sz="0" w:space="0" w:color="auto"/>
          </w:divBdr>
        </w:div>
        <w:div w:id="1251430570">
          <w:marLeft w:val="0"/>
          <w:marRight w:val="0"/>
          <w:marTop w:val="83"/>
          <w:marBottom w:val="0"/>
          <w:divBdr>
            <w:top w:val="none" w:sz="0" w:space="0" w:color="auto"/>
            <w:left w:val="none" w:sz="0" w:space="0" w:color="auto"/>
            <w:bottom w:val="none" w:sz="0" w:space="0" w:color="auto"/>
            <w:right w:val="none" w:sz="0" w:space="0" w:color="auto"/>
          </w:divBdr>
        </w:div>
        <w:div w:id="463930997">
          <w:marLeft w:val="0"/>
          <w:marRight w:val="0"/>
          <w:marTop w:val="83"/>
          <w:marBottom w:val="0"/>
          <w:divBdr>
            <w:top w:val="none" w:sz="0" w:space="0" w:color="auto"/>
            <w:left w:val="none" w:sz="0" w:space="0" w:color="auto"/>
            <w:bottom w:val="none" w:sz="0" w:space="0" w:color="auto"/>
            <w:right w:val="none" w:sz="0" w:space="0" w:color="auto"/>
          </w:divBdr>
        </w:div>
        <w:div w:id="1122307064">
          <w:marLeft w:val="0"/>
          <w:marRight w:val="0"/>
          <w:marTop w:val="83"/>
          <w:marBottom w:val="0"/>
          <w:divBdr>
            <w:top w:val="none" w:sz="0" w:space="0" w:color="auto"/>
            <w:left w:val="none" w:sz="0" w:space="0" w:color="auto"/>
            <w:bottom w:val="none" w:sz="0" w:space="0" w:color="auto"/>
            <w:right w:val="none" w:sz="0" w:space="0" w:color="auto"/>
          </w:divBdr>
        </w:div>
        <w:div w:id="870344080">
          <w:marLeft w:val="0"/>
          <w:marRight w:val="0"/>
          <w:marTop w:val="83"/>
          <w:marBottom w:val="0"/>
          <w:divBdr>
            <w:top w:val="none" w:sz="0" w:space="0" w:color="auto"/>
            <w:left w:val="none" w:sz="0" w:space="0" w:color="auto"/>
            <w:bottom w:val="none" w:sz="0" w:space="0" w:color="auto"/>
            <w:right w:val="none" w:sz="0" w:space="0" w:color="auto"/>
          </w:divBdr>
        </w:div>
        <w:div w:id="1537962603">
          <w:marLeft w:val="0"/>
          <w:marRight w:val="0"/>
          <w:marTop w:val="83"/>
          <w:marBottom w:val="0"/>
          <w:divBdr>
            <w:top w:val="none" w:sz="0" w:space="0" w:color="auto"/>
            <w:left w:val="none" w:sz="0" w:space="0" w:color="auto"/>
            <w:bottom w:val="none" w:sz="0" w:space="0" w:color="auto"/>
            <w:right w:val="none" w:sz="0" w:space="0" w:color="auto"/>
          </w:divBdr>
        </w:div>
        <w:div w:id="200409184">
          <w:marLeft w:val="0"/>
          <w:marRight w:val="0"/>
          <w:marTop w:val="83"/>
          <w:marBottom w:val="0"/>
          <w:divBdr>
            <w:top w:val="none" w:sz="0" w:space="0" w:color="auto"/>
            <w:left w:val="none" w:sz="0" w:space="0" w:color="auto"/>
            <w:bottom w:val="none" w:sz="0" w:space="0" w:color="auto"/>
            <w:right w:val="none" w:sz="0" w:space="0" w:color="auto"/>
          </w:divBdr>
        </w:div>
        <w:div w:id="1899396776">
          <w:marLeft w:val="0"/>
          <w:marRight w:val="0"/>
          <w:marTop w:val="83"/>
          <w:marBottom w:val="0"/>
          <w:divBdr>
            <w:top w:val="none" w:sz="0" w:space="0" w:color="auto"/>
            <w:left w:val="none" w:sz="0" w:space="0" w:color="auto"/>
            <w:bottom w:val="none" w:sz="0" w:space="0" w:color="auto"/>
            <w:right w:val="none" w:sz="0" w:space="0" w:color="auto"/>
          </w:divBdr>
        </w:div>
        <w:div w:id="409161875">
          <w:marLeft w:val="0"/>
          <w:marRight w:val="0"/>
          <w:marTop w:val="83"/>
          <w:marBottom w:val="0"/>
          <w:divBdr>
            <w:top w:val="none" w:sz="0" w:space="0" w:color="auto"/>
            <w:left w:val="none" w:sz="0" w:space="0" w:color="auto"/>
            <w:bottom w:val="none" w:sz="0" w:space="0" w:color="auto"/>
            <w:right w:val="none" w:sz="0" w:space="0" w:color="auto"/>
          </w:divBdr>
        </w:div>
        <w:div w:id="626200899">
          <w:marLeft w:val="0"/>
          <w:marRight w:val="0"/>
          <w:marTop w:val="83"/>
          <w:marBottom w:val="0"/>
          <w:divBdr>
            <w:top w:val="none" w:sz="0" w:space="0" w:color="auto"/>
            <w:left w:val="none" w:sz="0" w:space="0" w:color="auto"/>
            <w:bottom w:val="none" w:sz="0" w:space="0" w:color="auto"/>
            <w:right w:val="none" w:sz="0" w:space="0" w:color="auto"/>
          </w:divBdr>
        </w:div>
        <w:div w:id="1292593787">
          <w:marLeft w:val="0"/>
          <w:marRight w:val="0"/>
          <w:marTop w:val="83"/>
          <w:marBottom w:val="0"/>
          <w:divBdr>
            <w:top w:val="none" w:sz="0" w:space="0" w:color="auto"/>
            <w:left w:val="none" w:sz="0" w:space="0" w:color="auto"/>
            <w:bottom w:val="none" w:sz="0" w:space="0" w:color="auto"/>
            <w:right w:val="none" w:sz="0" w:space="0" w:color="auto"/>
          </w:divBdr>
        </w:div>
        <w:div w:id="323243007">
          <w:marLeft w:val="0"/>
          <w:marRight w:val="0"/>
          <w:marTop w:val="83"/>
          <w:marBottom w:val="0"/>
          <w:divBdr>
            <w:top w:val="none" w:sz="0" w:space="0" w:color="auto"/>
            <w:left w:val="none" w:sz="0" w:space="0" w:color="auto"/>
            <w:bottom w:val="none" w:sz="0" w:space="0" w:color="auto"/>
            <w:right w:val="none" w:sz="0" w:space="0" w:color="auto"/>
          </w:divBdr>
        </w:div>
        <w:div w:id="526598217">
          <w:marLeft w:val="0"/>
          <w:marRight w:val="0"/>
          <w:marTop w:val="83"/>
          <w:marBottom w:val="0"/>
          <w:divBdr>
            <w:top w:val="none" w:sz="0" w:space="0" w:color="auto"/>
            <w:left w:val="none" w:sz="0" w:space="0" w:color="auto"/>
            <w:bottom w:val="none" w:sz="0" w:space="0" w:color="auto"/>
            <w:right w:val="none" w:sz="0" w:space="0" w:color="auto"/>
          </w:divBdr>
        </w:div>
        <w:div w:id="956059015">
          <w:marLeft w:val="0"/>
          <w:marRight w:val="0"/>
          <w:marTop w:val="83"/>
          <w:marBottom w:val="0"/>
          <w:divBdr>
            <w:top w:val="none" w:sz="0" w:space="0" w:color="auto"/>
            <w:left w:val="none" w:sz="0" w:space="0" w:color="auto"/>
            <w:bottom w:val="none" w:sz="0" w:space="0" w:color="auto"/>
            <w:right w:val="none" w:sz="0" w:space="0" w:color="auto"/>
          </w:divBdr>
        </w:div>
        <w:div w:id="1321736954">
          <w:marLeft w:val="0"/>
          <w:marRight w:val="0"/>
          <w:marTop w:val="83"/>
          <w:marBottom w:val="0"/>
          <w:divBdr>
            <w:top w:val="none" w:sz="0" w:space="0" w:color="auto"/>
            <w:left w:val="none" w:sz="0" w:space="0" w:color="auto"/>
            <w:bottom w:val="none" w:sz="0" w:space="0" w:color="auto"/>
            <w:right w:val="none" w:sz="0" w:space="0" w:color="auto"/>
          </w:divBdr>
        </w:div>
        <w:div w:id="1794597908">
          <w:marLeft w:val="0"/>
          <w:marRight w:val="0"/>
          <w:marTop w:val="83"/>
          <w:marBottom w:val="0"/>
          <w:divBdr>
            <w:top w:val="none" w:sz="0" w:space="0" w:color="auto"/>
            <w:left w:val="none" w:sz="0" w:space="0" w:color="auto"/>
            <w:bottom w:val="none" w:sz="0" w:space="0" w:color="auto"/>
            <w:right w:val="none" w:sz="0" w:space="0" w:color="auto"/>
          </w:divBdr>
        </w:div>
        <w:div w:id="1951280778">
          <w:marLeft w:val="0"/>
          <w:marRight w:val="0"/>
          <w:marTop w:val="83"/>
          <w:marBottom w:val="0"/>
          <w:divBdr>
            <w:top w:val="none" w:sz="0" w:space="0" w:color="auto"/>
            <w:left w:val="none" w:sz="0" w:space="0" w:color="auto"/>
            <w:bottom w:val="none" w:sz="0" w:space="0" w:color="auto"/>
            <w:right w:val="none" w:sz="0" w:space="0" w:color="auto"/>
          </w:divBdr>
        </w:div>
        <w:div w:id="31881025">
          <w:marLeft w:val="0"/>
          <w:marRight w:val="0"/>
          <w:marTop w:val="83"/>
          <w:marBottom w:val="0"/>
          <w:divBdr>
            <w:top w:val="none" w:sz="0" w:space="0" w:color="auto"/>
            <w:left w:val="none" w:sz="0" w:space="0" w:color="auto"/>
            <w:bottom w:val="none" w:sz="0" w:space="0" w:color="auto"/>
            <w:right w:val="none" w:sz="0" w:space="0" w:color="auto"/>
          </w:divBdr>
        </w:div>
      </w:divsChild>
    </w:div>
    <w:div w:id="1284848515">
      <w:bodyDiv w:val="1"/>
      <w:marLeft w:val="0"/>
      <w:marRight w:val="0"/>
      <w:marTop w:val="0"/>
      <w:marBottom w:val="0"/>
      <w:divBdr>
        <w:top w:val="none" w:sz="0" w:space="0" w:color="auto"/>
        <w:left w:val="none" w:sz="0" w:space="0" w:color="auto"/>
        <w:bottom w:val="none" w:sz="0" w:space="0" w:color="auto"/>
        <w:right w:val="none" w:sz="0" w:space="0" w:color="auto"/>
      </w:divBdr>
    </w:div>
    <w:div w:id="1492714117">
      <w:bodyDiv w:val="1"/>
      <w:marLeft w:val="0"/>
      <w:marRight w:val="0"/>
      <w:marTop w:val="0"/>
      <w:marBottom w:val="0"/>
      <w:divBdr>
        <w:top w:val="none" w:sz="0" w:space="0" w:color="auto"/>
        <w:left w:val="none" w:sz="0" w:space="0" w:color="auto"/>
        <w:bottom w:val="none" w:sz="0" w:space="0" w:color="auto"/>
        <w:right w:val="none" w:sz="0" w:space="0" w:color="auto"/>
      </w:divBdr>
    </w:div>
    <w:div w:id="1528719244">
      <w:bodyDiv w:val="1"/>
      <w:marLeft w:val="0"/>
      <w:marRight w:val="0"/>
      <w:marTop w:val="0"/>
      <w:marBottom w:val="0"/>
      <w:divBdr>
        <w:top w:val="none" w:sz="0" w:space="0" w:color="auto"/>
        <w:left w:val="none" w:sz="0" w:space="0" w:color="auto"/>
        <w:bottom w:val="none" w:sz="0" w:space="0" w:color="auto"/>
        <w:right w:val="none" w:sz="0" w:space="0" w:color="auto"/>
      </w:divBdr>
    </w:div>
    <w:div w:id="1555387910">
      <w:bodyDiv w:val="1"/>
      <w:marLeft w:val="0"/>
      <w:marRight w:val="0"/>
      <w:marTop w:val="0"/>
      <w:marBottom w:val="0"/>
      <w:divBdr>
        <w:top w:val="none" w:sz="0" w:space="0" w:color="auto"/>
        <w:left w:val="none" w:sz="0" w:space="0" w:color="auto"/>
        <w:bottom w:val="none" w:sz="0" w:space="0" w:color="auto"/>
        <w:right w:val="none" w:sz="0" w:space="0" w:color="auto"/>
      </w:divBdr>
      <w:divsChild>
        <w:div w:id="865367287">
          <w:marLeft w:val="0"/>
          <w:marRight w:val="0"/>
          <w:marTop w:val="0"/>
          <w:marBottom w:val="0"/>
          <w:divBdr>
            <w:top w:val="none" w:sz="0" w:space="0" w:color="auto"/>
            <w:left w:val="none" w:sz="0" w:space="0" w:color="auto"/>
            <w:bottom w:val="none" w:sz="0" w:space="0" w:color="auto"/>
            <w:right w:val="none" w:sz="0" w:space="0" w:color="auto"/>
          </w:divBdr>
          <w:divsChild>
            <w:div w:id="1094663300">
              <w:marLeft w:val="0"/>
              <w:marRight w:val="0"/>
              <w:marTop w:val="0"/>
              <w:marBottom w:val="0"/>
              <w:divBdr>
                <w:top w:val="none" w:sz="0" w:space="0" w:color="auto"/>
                <w:left w:val="none" w:sz="0" w:space="0" w:color="auto"/>
                <w:bottom w:val="none" w:sz="0" w:space="0" w:color="auto"/>
                <w:right w:val="none" w:sz="0" w:space="0" w:color="auto"/>
              </w:divBdr>
              <w:divsChild>
                <w:div w:id="236668294">
                  <w:marLeft w:val="0"/>
                  <w:marRight w:val="0"/>
                  <w:marTop w:val="0"/>
                  <w:marBottom w:val="0"/>
                  <w:divBdr>
                    <w:top w:val="none" w:sz="0" w:space="0" w:color="auto"/>
                    <w:left w:val="none" w:sz="0" w:space="0" w:color="auto"/>
                    <w:bottom w:val="none" w:sz="0" w:space="0" w:color="auto"/>
                    <w:right w:val="none" w:sz="0" w:space="0" w:color="auto"/>
                  </w:divBdr>
                  <w:divsChild>
                    <w:div w:id="144900110">
                      <w:marLeft w:val="0"/>
                      <w:marRight w:val="0"/>
                      <w:marTop w:val="0"/>
                      <w:marBottom w:val="0"/>
                      <w:divBdr>
                        <w:top w:val="none" w:sz="0" w:space="0" w:color="auto"/>
                        <w:left w:val="none" w:sz="0" w:space="0" w:color="auto"/>
                        <w:bottom w:val="none" w:sz="0" w:space="0" w:color="auto"/>
                        <w:right w:val="none" w:sz="0" w:space="0" w:color="auto"/>
                      </w:divBdr>
                      <w:divsChild>
                        <w:div w:id="2014842044">
                          <w:marLeft w:val="0"/>
                          <w:marRight w:val="0"/>
                          <w:marTop w:val="0"/>
                          <w:marBottom w:val="0"/>
                          <w:divBdr>
                            <w:top w:val="none" w:sz="0" w:space="0" w:color="auto"/>
                            <w:left w:val="none" w:sz="0" w:space="0" w:color="auto"/>
                            <w:bottom w:val="none" w:sz="0" w:space="0" w:color="auto"/>
                            <w:right w:val="none" w:sz="0" w:space="0" w:color="auto"/>
                          </w:divBdr>
                          <w:divsChild>
                            <w:div w:id="766579536">
                              <w:marLeft w:val="0"/>
                              <w:marRight w:val="0"/>
                              <w:marTop w:val="0"/>
                              <w:marBottom w:val="0"/>
                              <w:divBdr>
                                <w:top w:val="none" w:sz="0" w:space="0" w:color="auto"/>
                                <w:left w:val="none" w:sz="0" w:space="0" w:color="auto"/>
                                <w:bottom w:val="none" w:sz="0" w:space="0" w:color="auto"/>
                                <w:right w:val="none" w:sz="0" w:space="0" w:color="auto"/>
                              </w:divBdr>
                              <w:divsChild>
                                <w:div w:id="13523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139933">
      <w:bodyDiv w:val="1"/>
      <w:marLeft w:val="0"/>
      <w:marRight w:val="0"/>
      <w:marTop w:val="0"/>
      <w:marBottom w:val="0"/>
      <w:divBdr>
        <w:top w:val="none" w:sz="0" w:space="0" w:color="auto"/>
        <w:left w:val="none" w:sz="0" w:space="0" w:color="auto"/>
        <w:bottom w:val="none" w:sz="0" w:space="0" w:color="auto"/>
        <w:right w:val="none" w:sz="0" w:space="0" w:color="auto"/>
      </w:divBdr>
    </w:div>
    <w:div w:id="1715929320">
      <w:bodyDiv w:val="1"/>
      <w:marLeft w:val="0"/>
      <w:marRight w:val="0"/>
      <w:marTop w:val="0"/>
      <w:marBottom w:val="0"/>
      <w:divBdr>
        <w:top w:val="none" w:sz="0" w:space="0" w:color="auto"/>
        <w:left w:val="none" w:sz="0" w:space="0" w:color="auto"/>
        <w:bottom w:val="none" w:sz="0" w:space="0" w:color="auto"/>
        <w:right w:val="none" w:sz="0" w:space="0" w:color="auto"/>
      </w:divBdr>
    </w:div>
    <w:div w:id="1757822949">
      <w:bodyDiv w:val="1"/>
      <w:marLeft w:val="0"/>
      <w:marRight w:val="0"/>
      <w:marTop w:val="0"/>
      <w:marBottom w:val="0"/>
      <w:divBdr>
        <w:top w:val="none" w:sz="0" w:space="0" w:color="auto"/>
        <w:left w:val="none" w:sz="0" w:space="0" w:color="auto"/>
        <w:bottom w:val="none" w:sz="0" w:space="0" w:color="auto"/>
        <w:right w:val="none" w:sz="0" w:space="0" w:color="auto"/>
      </w:divBdr>
      <w:divsChild>
        <w:div w:id="742794329">
          <w:marLeft w:val="0"/>
          <w:marRight w:val="0"/>
          <w:marTop w:val="0"/>
          <w:marBottom w:val="0"/>
          <w:divBdr>
            <w:top w:val="none" w:sz="0" w:space="0" w:color="auto"/>
            <w:left w:val="none" w:sz="0" w:space="0" w:color="auto"/>
            <w:bottom w:val="none" w:sz="0" w:space="0" w:color="auto"/>
            <w:right w:val="none" w:sz="0" w:space="0" w:color="auto"/>
          </w:divBdr>
        </w:div>
      </w:divsChild>
    </w:div>
    <w:div w:id="1784422912">
      <w:bodyDiv w:val="1"/>
      <w:marLeft w:val="0"/>
      <w:marRight w:val="0"/>
      <w:marTop w:val="0"/>
      <w:marBottom w:val="0"/>
      <w:divBdr>
        <w:top w:val="none" w:sz="0" w:space="0" w:color="auto"/>
        <w:left w:val="none" w:sz="0" w:space="0" w:color="auto"/>
        <w:bottom w:val="none" w:sz="0" w:space="0" w:color="auto"/>
        <w:right w:val="none" w:sz="0" w:space="0" w:color="auto"/>
      </w:divBdr>
    </w:div>
    <w:div w:id="1820339308">
      <w:bodyDiv w:val="1"/>
      <w:marLeft w:val="0"/>
      <w:marRight w:val="0"/>
      <w:marTop w:val="0"/>
      <w:marBottom w:val="0"/>
      <w:divBdr>
        <w:top w:val="none" w:sz="0" w:space="0" w:color="auto"/>
        <w:left w:val="none" w:sz="0" w:space="0" w:color="auto"/>
        <w:bottom w:val="none" w:sz="0" w:space="0" w:color="auto"/>
        <w:right w:val="none" w:sz="0" w:space="0" w:color="auto"/>
      </w:divBdr>
    </w:div>
    <w:div w:id="1876573538">
      <w:bodyDiv w:val="1"/>
      <w:marLeft w:val="0"/>
      <w:marRight w:val="0"/>
      <w:marTop w:val="0"/>
      <w:marBottom w:val="0"/>
      <w:divBdr>
        <w:top w:val="none" w:sz="0" w:space="0" w:color="auto"/>
        <w:left w:val="none" w:sz="0" w:space="0" w:color="auto"/>
        <w:bottom w:val="none" w:sz="0" w:space="0" w:color="auto"/>
        <w:right w:val="none" w:sz="0" w:space="0" w:color="auto"/>
      </w:divBdr>
    </w:div>
    <w:div w:id="2078700120">
      <w:bodyDiv w:val="1"/>
      <w:marLeft w:val="0"/>
      <w:marRight w:val="0"/>
      <w:marTop w:val="0"/>
      <w:marBottom w:val="0"/>
      <w:divBdr>
        <w:top w:val="none" w:sz="0" w:space="0" w:color="auto"/>
        <w:left w:val="none" w:sz="0" w:space="0" w:color="auto"/>
        <w:bottom w:val="none" w:sz="0" w:space="0" w:color="auto"/>
        <w:right w:val="none" w:sz="0" w:space="0" w:color="auto"/>
      </w:divBdr>
      <w:divsChild>
        <w:div w:id="491487201">
          <w:marLeft w:val="0"/>
          <w:marRight w:val="0"/>
          <w:marTop w:val="0"/>
          <w:marBottom w:val="0"/>
          <w:divBdr>
            <w:top w:val="none" w:sz="0" w:space="0" w:color="auto"/>
            <w:left w:val="none" w:sz="0" w:space="0" w:color="auto"/>
            <w:bottom w:val="none" w:sz="0" w:space="0" w:color="auto"/>
            <w:right w:val="none" w:sz="0" w:space="0" w:color="auto"/>
          </w:divBdr>
          <w:divsChild>
            <w:div w:id="226651104">
              <w:marLeft w:val="-225"/>
              <w:marRight w:val="-225"/>
              <w:marTop w:val="0"/>
              <w:marBottom w:val="0"/>
              <w:divBdr>
                <w:top w:val="none" w:sz="0" w:space="0" w:color="auto"/>
                <w:left w:val="none" w:sz="0" w:space="0" w:color="auto"/>
                <w:bottom w:val="none" w:sz="0" w:space="0" w:color="auto"/>
                <w:right w:val="none" w:sz="0" w:space="0" w:color="auto"/>
              </w:divBdr>
              <w:divsChild>
                <w:div w:id="209614069">
                  <w:marLeft w:val="0"/>
                  <w:marRight w:val="0"/>
                  <w:marTop w:val="0"/>
                  <w:marBottom w:val="0"/>
                  <w:divBdr>
                    <w:top w:val="none" w:sz="0" w:space="0" w:color="auto"/>
                    <w:left w:val="none" w:sz="0" w:space="0" w:color="auto"/>
                    <w:bottom w:val="none" w:sz="0" w:space="0" w:color="auto"/>
                    <w:right w:val="none" w:sz="0" w:space="0" w:color="auto"/>
                  </w:divBdr>
                  <w:divsChild>
                    <w:div w:id="419495969">
                      <w:marLeft w:val="0"/>
                      <w:marRight w:val="0"/>
                      <w:marTop w:val="0"/>
                      <w:marBottom w:val="0"/>
                      <w:divBdr>
                        <w:top w:val="none" w:sz="0" w:space="0" w:color="auto"/>
                        <w:left w:val="none" w:sz="0" w:space="0" w:color="auto"/>
                        <w:bottom w:val="none" w:sz="0" w:space="0" w:color="auto"/>
                        <w:right w:val="none" w:sz="0" w:space="0" w:color="auto"/>
                      </w:divBdr>
                      <w:divsChild>
                        <w:div w:id="855773419">
                          <w:marLeft w:val="-225"/>
                          <w:marRight w:val="-225"/>
                          <w:marTop w:val="0"/>
                          <w:marBottom w:val="0"/>
                          <w:divBdr>
                            <w:top w:val="none" w:sz="0" w:space="0" w:color="auto"/>
                            <w:left w:val="none" w:sz="0" w:space="0" w:color="auto"/>
                            <w:bottom w:val="none" w:sz="0" w:space="0" w:color="auto"/>
                            <w:right w:val="none" w:sz="0" w:space="0" w:color="auto"/>
                          </w:divBdr>
                          <w:divsChild>
                            <w:div w:id="1622107438">
                              <w:marLeft w:val="0"/>
                              <w:marRight w:val="0"/>
                              <w:marTop w:val="0"/>
                              <w:marBottom w:val="0"/>
                              <w:divBdr>
                                <w:top w:val="none" w:sz="0" w:space="0" w:color="auto"/>
                                <w:left w:val="none" w:sz="0" w:space="0" w:color="auto"/>
                                <w:bottom w:val="none" w:sz="0" w:space="0" w:color="auto"/>
                                <w:right w:val="none" w:sz="0" w:space="0" w:color="auto"/>
                              </w:divBdr>
                              <w:divsChild>
                                <w:div w:id="715004001">
                                  <w:marLeft w:val="0"/>
                                  <w:marRight w:val="0"/>
                                  <w:marTop w:val="0"/>
                                  <w:marBottom w:val="0"/>
                                  <w:divBdr>
                                    <w:top w:val="none" w:sz="0" w:space="0" w:color="auto"/>
                                    <w:left w:val="none" w:sz="0" w:space="0" w:color="auto"/>
                                    <w:bottom w:val="none" w:sz="0" w:space="0" w:color="auto"/>
                                    <w:right w:val="none" w:sz="0" w:space="0" w:color="auto"/>
                                  </w:divBdr>
                                  <w:divsChild>
                                    <w:div w:id="1976987293">
                                      <w:marLeft w:val="0"/>
                                      <w:marRight w:val="0"/>
                                      <w:marTop w:val="0"/>
                                      <w:marBottom w:val="0"/>
                                      <w:divBdr>
                                        <w:top w:val="none" w:sz="0" w:space="0" w:color="auto"/>
                                        <w:left w:val="none" w:sz="0" w:space="0" w:color="auto"/>
                                        <w:bottom w:val="none" w:sz="0" w:space="0" w:color="auto"/>
                                        <w:right w:val="none" w:sz="0" w:space="0" w:color="auto"/>
                                      </w:divBdr>
                                      <w:divsChild>
                                        <w:div w:id="1136609919">
                                          <w:marLeft w:val="0"/>
                                          <w:marRight w:val="0"/>
                                          <w:marTop w:val="0"/>
                                          <w:marBottom w:val="0"/>
                                          <w:divBdr>
                                            <w:top w:val="none" w:sz="0" w:space="0" w:color="auto"/>
                                            <w:left w:val="none" w:sz="0" w:space="0" w:color="auto"/>
                                            <w:bottom w:val="none" w:sz="0" w:space="0" w:color="auto"/>
                                            <w:right w:val="none" w:sz="0" w:space="0" w:color="auto"/>
                                          </w:divBdr>
                                          <w:divsChild>
                                            <w:div w:id="1498956513">
                                              <w:marLeft w:val="0"/>
                                              <w:marRight w:val="0"/>
                                              <w:marTop w:val="0"/>
                                              <w:marBottom w:val="0"/>
                                              <w:divBdr>
                                                <w:top w:val="none" w:sz="0" w:space="0" w:color="auto"/>
                                                <w:left w:val="none" w:sz="0" w:space="0" w:color="auto"/>
                                                <w:bottom w:val="none" w:sz="0" w:space="0" w:color="auto"/>
                                                <w:right w:val="none" w:sz="0" w:space="0" w:color="auto"/>
                                              </w:divBdr>
                                              <w:divsChild>
                                                <w:div w:id="1238440724">
                                                  <w:marLeft w:val="0"/>
                                                  <w:marRight w:val="0"/>
                                                  <w:marTop w:val="0"/>
                                                  <w:marBottom w:val="0"/>
                                                  <w:divBdr>
                                                    <w:top w:val="none" w:sz="0" w:space="0" w:color="auto"/>
                                                    <w:left w:val="none" w:sz="0" w:space="0" w:color="auto"/>
                                                    <w:bottom w:val="none" w:sz="0" w:space="0" w:color="auto"/>
                                                    <w:right w:val="none" w:sz="0" w:space="0" w:color="auto"/>
                                                  </w:divBdr>
                                                  <w:divsChild>
                                                    <w:div w:id="2136436459">
                                                      <w:marLeft w:val="0"/>
                                                      <w:marRight w:val="0"/>
                                                      <w:marTop w:val="0"/>
                                                      <w:marBottom w:val="0"/>
                                                      <w:divBdr>
                                                        <w:top w:val="none" w:sz="0" w:space="0" w:color="auto"/>
                                                        <w:left w:val="none" w:sz="0" w:space="0" w:color="auto"/>
                                                        <w:bottom w:val="none" w:sz="0" w:space="0" w:color="auto"/>
                                                        <w:right w:val="none" w:sz="0" w:space="0" w:color="auto"/>
                                                      </w:divBdr>
                                                      <w:divsChild>
                                                        <w:div w:id="7399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942511">
      <w:bodyDiv w:val="1"/>
      <w:marLeft w:val="0"/>
      <w:marRight w:val="0"/>
      <w:marTop w:val="0"/>
      <w:marBottom w:val="0"/>
      <w:divBdr>
        <w:top w:val="none" w:sz="0" w:space="0" w:color="auto"/>
        <w:left w:val="none" w:sz="0" w:space="0" w:color="auto"/>
        <w:bottom w:val="none" w:sz="0" w:space="0" w:color="auto"/>
        <w:right w:val="none" w:sz="0" w:space="0" w:color="auto"/>
      </w:divBdr>
    </w:div>
    <w:div w:id="21391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sset" TargetMode="External"/><Relationship Id="rId13" Type="http://schemas.openxmlformats.org/officeDocument/2006/relationships/hyperlink" Target="https://en.wikipedia.org/wiki/Option_(fin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Futures_contr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orward_contract" TargetMode="External"/><Relationship Id="rId5" Type="http://schemas.openxmlformats.org/officeDocument/2006/relationships/webSettings" Target="webSettings.xml"/><Relationship Id="rId15" Type="http://schemas.openxmlformats.org/officeDocument/2006/relationships/hyperlink" Target="https://en.wikipedia.org/wiki/Over-the-counter_(finance)" TargetMode="External"/><Relationship Id="rId10" Type="http://schemas.openxmlformats.org/officeDocument/2006/relationships/hyperlink" Target="https://en.wikipedia.org/wiki/Interest_rate" TargetMode="External"/><Relationship Id="rId4" Type="http://schemas.openxmlformats.org/officeDocument/2006/relationships/settings" Target="settings.xml"/><Relationship Id="rId9" Type="http://schemas.openxmlformats.org/officeDocument/2006/relationships/hyperlink" Target="https://en.wikipedia.org/wiki/Index_fund" TargetMode="External"/><Relationship Id="rId14" Type="http://schemas.openxmlformats.org/officeDocument/2006/relationships/hyperlink" Target="https://en.wikipedia.org/wiki/Swap_(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A657-6A87-46B8-8CC8-031F6BF6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A72E42D7.dotm</Template>
  <TotalTime>1</TotalTime>
  <Pages>12</Pages>
  <Words>4771</Words>
  <Characters>26580</Characters>
  <Application>Microsoft Office Word</Application>
  <DocSecurity>4</DocSecurity>
  <Lines>466</Lines>
  <Paragraphs>173</Paragraphs>
  <ScaleCrop>false</ScaleCrop>
  <HeadingPairs>
    <vt:vector size="2" baseType="variant">
      <vt:variant>
        <vt:lpstr>Title</vt:lpstr>
      </vt:variant>
      <vt:variant>
        <vt:i4>1</vt:i4>
      </vt:variant>
    </vt:vector>
  </HeadingPairs>
  <TitlesOfParts>
    <vt:vector size="1" baseType="lpstr">
      <vt:lpstr>Template Policy Paper</vt:lpstr>
    </vt:vector>
  </TitlesOfParts>
  <Company>Ministry of Economic Development</Company>
  <LinksUpToDate>false</LinksUpToDate>
  <CharactersWithSpaces>31178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 Paper</dc:title>
  <dc:creator>Cabinet Office - Department of the Prime Minister and Cabinet</dc:creator>
  <cp:keywords>4165934</cp:keywords>
  <cp:lastModifiedBy>Ellen Fitzsimons</cp:lastModifiedBy>
  <cp:revision>2</cp:revision>
  <cp:lastPrinted>2018-11-07T23:50:00Z</cp:lastPrinted>
  <dcterms:created xsi:type="dcterms:W3CDTF">2018-11-22T23:12:00Z</dcterms:created>
  <dcterms:modified xsi:type="dcterms:W3CDTF">2018-11-22T23:12:00Z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
    <vt:lpwstr>4165934</vt:lpwstr>
  </property>
</Properties>
</file>