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113DD" w14:textId="27B02EE7" w:rsidR="0024799F" w:rsidRDefault="00A709BB">
      <w:r w:rsidRPr="00952D0A">
        <w:rPr>
          <w:noProof/>
          <w:lang w:eastAsia="en-NZ"/>
        </w:rPr>
        <w:drawing>
          <wp:anchor distT="0" distB="0" distL="114300" distR="114300" simplePos="0" relativeHeight="251661312" behindDoc="1" locked="0" layoutInCell="1" allowOverlap="1" wp14:anchorId="3555B9B0" wp14:editId="16D650E1">
            <wp:simplePos x="0" y="0"/>
            <wp:positionH relativeFrom="margin">
              <wp:posOffset>4962525</wp:posOffset>
            </wp:positionH>
            <wp:positionV relativeFrom="paragraph">
              <wp:posOffset>-257175</wp:posOffset>
            </wp:positionV>
            <wp:extent cx="1681309" cy="1166495"/>
            <wp:effectExtent l="0" t="0" r="0" b="0"/>
            <wp:wrapNone/>
            <wp:docPr id="623095620" name="Picture 623095620"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3204" t="2816" r="3890" b="85942"/>
                    <a:stretch>
                      <a:fillRect/>
                    </a:stretch>
                  </pic:blipFill>
                  <pic:spPr bwMode="auto">
                    <a:xfrm>
                      <a:off x="0" y="0"/>
                      <a:ext cx="1681309" cy="11664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2D0A">
        <w:rPr>
          <w:noProof/>
          <w:lang w:eastAsia="en-NZ"/>
        </w:rPr>
        <w:drawing>
          <wp:anchor distT="0" distB="0" distL="114300" distR="114300" simplePos="0" relativeHeight="251659264" behindDoc="1" locked="0" layoutInCell="1" allowOverlap="1" wp14:anchorId="143F0722" wp14:editId="78AD7BED">
            <wp:simplePos x="0" y="0"/>
            <wp:positionH relativeFrom="margin">
              <wp:posOffset>-123825</wp:posOffset>
            </wp:positionH>
            <wp:positionV relativeFrom="paragraph">
              <wp:posOffset>-257175</wp:posOffset>
            </wp:positionV>
            <wp:extent cx="2895600" cy="790575"/>
            <wp:effectExtent l="0" t="0" r="0" b="9525"/>
            <wp:wrapNone/>
            <wp:docPr id="1580557447" name="Picture 1580557447"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009" t="4468" r="50544" b="87913"/>
                    <a:stretch>
                      <a:fillRect/>
                    </a:stretch>
                  </pic:blipFill>
                  <pic:spPr bwMode="auto">
                    <a:xfrm>
                      <a:off x="0" y="0"/>
                      <a:ext cx="2895600" cy="790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F3E8C9" w14:textId="77777777" w:rsidR="00A709BB" w:rsidRDefault="00A709BB"/>
    <w:p w14:paraId="28133B42" w14:textId="77777777" w:rsidR="00A709BB" w:rsidRDefault="00A709BB"/>
    <w:p w14:paraId="1524EE9E" w14:textId="3AB5FDF0" w:rsidR="00094DB1" w:rsidRPr="00094DB1" w:rsidRDefault="005A4BE1" w:rsidP="00094DB1">
      <w:pPr>
        <w:pBdr>
          <w:bottom w:val="single" w:sz="4" w:space="1" w:color="auto"/>
        </w:pBdr>
        <w:rPr>
          <w:b/>
          <w:bCs/>
          <w:color w:val="215E99" w:themeColor="text2" w:themeTint="BF"/>
          <w:sz w:val="56"/>
          <w:szCs w:val="56"/>
        </w:rPr>
      </w:pPr>
      <w:bookmarkStart w:id="0" w:name="_Toc233027244"/>
      <w:r>
        <w:rPr>
          <w:b/>
          <w:bCs/>
          <w:color w:val="215E99" w:themeColor="text2" w:themeTint="BF"/>
          <w:sz w:val="56"/>
          <w:szCs w:val="56"/>
        </w:rPr>
        <w:br/>
      </w:r>
      <w:r w:rsidR="00094DB1" w:rsidRPr="00094DB1">
        <w:rPr>
          <w:b/>
          <w:bCs/>
          <w:color w:val="215E99" w:themeColor="text2" w:themeTint="BF"/>
          <w:sz w:val="56"/>
          <w:szCs w:val="56"/>
        </w:rPr>
        <w:t xml:space="preserve">Submission </w:t>
      </w:r>
      <w:r w:rsidR="00094DB1">
        <w:rPr>
          <w:b/>
          <w:bCs/>
          <w:color w:val="215E99" w:themeColor="text2" w:themeTint="BF"/>
          <w:sz w:val="56"/>
          <w:szCs w:val="56"/>
        </w:rPr>
        <w:t>t</w:t>
      </w:r>
      <w:r w:rsidR="00094DB1" w:rsidRPr="00094DB1">
        <w:rPr>
          <w:b/>
          <w:bCs/>
          <w:color w:val="215E99" w:themeColor="text2" w:themeTint="BF"/>
          <w:sz w:val="56"/>
          <w:szCs w:val="56"/>
        </w:rPr>
        <w:t>emplate</w:t>
      </w:r>
    </w:p>
    <w:p w14:paraId="251E454A" w14:textId="77777777" w:rsidR="00094DB1" w:rsidRDefault="00094DB1" w:rsidP="00094DB1">
      <w:pPr>
        <w:pStyle w:val="Heading1"/>
        <w:spacing w:before="120"/>
        <w:rPr>
          <w:rFonts w:ascii="Calibri" w:hAnsi="Calibri" w:cs="Calibri"/>
          <w:b/>
          <w:bCs/>
          <w:color w:val="215E99" w:themeColor="text2" w:themeTint="BF"/>
        </w:rPr>
      </w:pPr>
      <w:r w:rsidRPr="00B42B44">
        <w:rPr>
          <w:rFonts w:ascii="Calibri" w:hAnsi="Calibri" w:cs="Calibri"/>
          <w:b/>
          <w:bCs/>
          <w:color w:val="215E99" w:themeColor="text2" w:themeTint="BF"/>
        </w:rPr>
        <w:t>Capital Markets Reforms Phase Two</w:t>
      </w:r>
    </w:p>
    <w:p w14:paraId="0505B1E3" w14:textId="43E43719" w:rsidR="00094DB1" w:rsidRDefault="00094DB1" w:rsidP="00094DB1">
      <w:pPr>
        <w:pStyle w:val="BodyText"/>
        <w:rPr>
          <w:i w:val="0"/>
          <w:iCs/>
        </w:rPr>
      </w:pPr>
      <w:r w:rsidRPr="00EA3D9B">
        <w:rPr>
          <w:i w:val="0"/>
          <w:iCs/>
        </w:rPr>
        <w:t xml:space="preserve">This is the submission template for the discussion document, </w:t>
      </w:r>
      <w:r>
        <w:t>Capital Markets Reforms, Phase Two</w:t>
      </w:r>
      <w:r w:rsidRPr="00EA3D9B">
        <w:rPr>
          <w:i w:val="0"/>
          <w:iCs/>
        </w:rPr>
        <w:t xml:space="preserve">. The Ministry of Business, Innovation and Employment (MBIE) seeks written submissions on the issues raised in the discussion document </w:t>
      </w:r>
      <w:r w:rsidRPr="009D0ED2">
        <w:rPr>
          <w:i w:val="0"/>
          <w:iCs/>
        </w:rPr>
        <w:t xml:space="preserve">by </w:t>
      </w:r>
      <w:r w:rsidR="009D0ED2" w:rsidRPr="009D0ED2">
        <w:rPr>
          <w:b/>
          <w:bCs/>
          <w:i w:val="0"/>
          <w:iCs/>
        </w:rPr>
        <w:t>Tuesday</w:t>
      </w:r>
      <w:r w:rsidR="00250903" w:rsidRPr="009D0ED2">
        <w:rPr>
          <w:b/>
          <w:bCs/>
          <w:i w:val="0"/>
          <w:iCs/>
        </w:rPr>
        <w:t xml:space="preserve">, </w:t>
      </w:r>
      <w:r w:rsidR="009D0ED2" w:rsidRPr="009D0ED2">
        <w:rPr>
          <w:b/>
          <w:bCs/>
          <w:i w:val="0"/>
          <w:iCs/>
        </w:rPr>
        <w:t>25</w:t>
      </w:r>
      <w:r w:rsidR="00250903" w:rsidRPr="009D0ED2">
        <w:rPr>
          <w:b/>
          <w:bCs/>
          <w:i w:val="0"/>
          <w:iCs/>
        </w:rPr>
        <w:t xml:space="preserve"> August 2026</w:t>
      </w:r>
      <w:r w:rsidR="009D0ED2" w:rsidRPr="009D0ED2">
        <w:rPr>
          <w:b/>
          <w:bCs/>
          <w:i w:val="0"/>
          <w:iCs/>
        </w:rPr>
        <w:t>, 5:00pm</w:t>
      </w:r>
      <w:r w:rsidR="008E38F0">
        <w:rPr>
          <w:b/>
          <w:bCs/>
          <w:i w:val="0"/>
          <w:iCs/>
        </w:rPr>
        <w:t xml:space="preserve"> </w:t>
      </w:r>
      <w:r w:rsidR="008E38F0" w:rsidRPr="008E38F0">
        <w:rPr>
          <w:i w:val="0"/>
          <w:iCs/>
        </w:rPr>
        <w:t>(six weeks from release)</w:t>
      </w:r>
      <w:r w:rsidRPr="00410445">
        <w:rPr>
          <w:i w:val="0"/>
          <w:iCs/>
        </w:rPr>
        <w:t>.</w:t>
      </w:r>
      <w:r w:rsidRPr="00EA3D9B">
        <w:rPr>
          <w:i w:val="0"/>
          <w:iCs/>
        </w:rPr>
        <w:t xml:space="preserve"> </w:t>
      </w:r>
    </w:p>
    <w:p w14:paraId="4685FD5F" w14:textId="77777777" w:rsidR="00094DB1" w:rsidRPr="00EA3D9B" w:rsidRDefault="00094DB1" w:rsidP="00094DB1">
      <w:pPr>
        <w:pStyle w:val="BodyText"/>
        <w:rPr>
          <w:i w:val="0"/>
          <w:iCs/>
        </w:rPr>
      </w:pPr>
      <w:r w:rsidRPr="00EA3D9B">
        <w:rPr>
          <w:i w:val="0"/>
          <w:iCs/>
        </w:rPr>
        <w:t>Please make your submission as follows:</w:t>
      </w:r>
    </w:p>
    <w:p w14:paraId="1D561049" w14:textId="29632B07" w:rsidR="00094DB1" w:rsidRDefault="00094DB1" w:rsidP="00094DB1">
      <w:pPr>
        <w:pStyle w:val="BodyText-Numbered"/>
        <w:ind w:left="426" w:hanging="426"/>
      </w:pPr>
      <w:r>
        <w:t>Fill out your name, organisation and contact details in the table.</w:t>
      </w:r>
    </w:p>
    <w:p w14:paraId="57C4D28D" w14:textId="50093A82" w:rsidR="005F00A7" w:rsidRPr="00F75B86" w:rsidRDefault="009D0ED2" w:rsidP="00892ED7">
      <w:pPr>
        <w:pStyle w:val="BodyText-Numbered"/>
        <w:ind w:left="426" w:hanging="426"/>
      </w:pPr>
      <w:bookmarkStart w:id="1" w:name="_Hlk138151949"/>
      <w:r>
        <w:t>Note that s</w:t>
      </w:r>
      <w:r w:rsidRPr="00E7562D">
        <w:t xml:space="preserve">ubmissions </w:t>
      </w:r>
      <w:r>
        <w:t xml:space="preserve">are </w:t>
      </w:r>
      <w:r w:rsidRPr="00E7562D">
        <w:t xml:space="preserve">subject to the Official Information Act </w:t>
      </w:r>
      <w:r>
        <w:t>1982 and may, therefore, be released in part or full</w:t>
      </w:r>
      <w:r w:rsidRPr="00E7562D">
        <w:t>.</w:t>
      </w:r>
      <w:r>
        <w:t xml:space="preserve"> The Privacy Act 2020 also applies.</w:t>
      </w:r>
      <w:r w:rsidR="00892ED7">
        <w:t xml:space="preserve"> Please </w:t>
      </w:r>
      <w:r w:rsidR="005F00A7" w:rsidRPr="00892ED7">
        <w:rPr>
          <w:szCs w:val="32"/>
        </w:rPr>
        <w:t xml:space="preserve">Indicate in the template if you do not wish for your name, or any other personal information, to be disclosed in any summary of submissions or external disclosures.  </w:t>
      </w:r>
    </w:p>
    <w:p w14:paraId="4F528EB9" w14:textId="4CF37279" w:rsidR="00094DB1" w:rsidRDefault="00094DB1" w:rsidP="00892ED7">
      <w:pPr>
        <w:pStyle w:val="BodyText-Numbered"/>
        <w:ind w:left="426" w:hanging="426"/>
      </w:pPr>
      <w:r>
        <w:t>Note that, e</w:t>
      </w:r>
      <w:r w:rsidRPr="000B0272">
        <w:t>xcept for material that may be defamatory, MBIE intends to upload PDF copies of submissions received to MBIE’s website</w:t>
      </w:r>
      <w:r>
        <w:t>.</w:t>
      </w:r>
      <w:r w:rsidRPr="000B0272">
        <w:t xml:space="preserve"> MBIE will consider you to have consented to </w:t>
      </w:r>
      <w:r w:rsidR="00250903">
        <w:t xml:space="preserve">this </w:t>
      </w:r>
      <w:r w:rsidRPr="000B0272">
        <w:t>uploading by making a submission, unless you clearly specify otherwise in your submission.</w:t>
      </w:r>
      <w:r>
        <w:t xml:space="preserve"> I</w:t>
      </w:r>
      <w:r w:rsidRPr="00A74303">
        <w:t>f your submission contains any confidential information</w:t>
      </w:r>
      <w:r w:rsidR="005F00A7">
        <w:t>, please</w:t>
      </w:r>
      <w:r>
        <w:t>:</w:t>
      </w:r>
    </w:p>
    <w:p w14:paraId="2D3A2ED1" w14:textId="7C9FC65A" w:rsidR="00094DB1" w:rsidRDefault="005F00A7" w:rsidP="005F00A7">
      <w:pPr>
        <w:pStyle w:val="BodyText-Numbered"/>
        <w:numPr>
          <w:ilvl w:val="2"/>
          <w:numId w:val="4"/>
        </w:numPr>
        <w:ind w:left="1276" w:hanging="425"/>
      </w:pPr>
      <w:r>
        <w:t>S</w:t>
      </w:r>
      <w:r w:rsidR="00094DB1">
        <w:t xml:space="preserve">tate this </w:t>
      </w:r>
      <w:r w:rsidR="00094DB1" w:rsidRPr="00A74303">
        <w:t xml:space="preserve">in the </w:t>
      </w:r>
      <w:r w:rsidR="00094DB1">
        <w:t xml:space="preserve">template, and </w:t>
      </w:r>
      <w:r w:rsidR="00094DB1" w:rsidRPr="00572AA3">
        <w:t>set out clearly which parts you consider should be withheld</w:t>
      </w:r>
      <w:r w:rsidR="00094DB1">
        <w:t xml:space="preserve"> and the grounds under the Official Information Act 1982 that you believe apply. </w:t>
      </w:r>
      <w:r w:rsidR="00094DB1" w:rsidRPr="00572AA3">
        <w:t>MBIE will take such</w:t>
      </w:r>
      <w:r>
        <w:t xml:space="preserve"> requests</w:t>
      </w:r>
      <w:r w:rsidR="00094DB1" w:rsidRPr="00572AA3">
        <w:t xml:space="preserve"> into account and will consult with submitters when responding to requests under the Official Information Act</w:t>
      </w:r>
      <w:r w:rsidR="00094DB1">
        <w:t xml:space="preserve"> 1982</w:t>
      </w:r>
      <w:r w:rsidR="00094DB1" w:rsidRPr="00572AA3">
        <w:t>.</w:t>
      </w:r>
    </w:p>
    <w:p w14:paraId="2C22E48A" w14:textId="77777777" w:rsidR="00094DB1" w:rsidRDefault="00094DB1" w:rsidP="005F00A7">
      <w:pPr>
        <w:pStyle w:val="BodyText-Numbered"/>
        <w:numPr>
          <w:ilvl w:val="2"/>
          <w:numId w:val="4"/>
        </w:numPr>
        <w:ind w:left="1276" w:hanging="425"/>
      </w:pPr>
      <w:r>
        <w:t xml:space="preserve">Indicate this on the front of your submission (e.g. the first page header may state “In Confidence”). </w:t>
      </w:r>
      <w:r w:rsidRPr="00A74303">
        <w:t>Any confidential information should be clearly marked wit</w:t>
      </w:r>
      <w:r>
        <w:t>hin the text of your submission (preferably as Microsoft Word comments).</w:t>
      </w:r>
    </w:p>
    <w:p w14:paraId="77BA29D3" w14:textId="6C37DB33" w:rsidR="008C4E9E" w:rsidRDefault="008C4E9E" w:rsidP="008C4E9E">
      <w:pPr>
        <w:pStyle w:val="BodyText-Numbered"/>
        <w:ind w:left="426" w:hanging="426"/>
      </w:pPr>
      <w:r>
        <w:t xml:space="preserve">Fill out your responses to </w:t>
      </w:r>
      <w:r w:rsidR="003958C5">
        <w:t xml:space="preserve">any or all </w:t>
      </w:r>
      <w:r>
        <w:t xml:space="preserve">the consultation document questions in the table. </w:t>
      </w:r>
    </w:p>
    <w:p w14:paraId="680EE03A" w14:textId="77777777" w:rsidR="00892ED7" w:rsidRDefault="00892ED7" w:rsidP="00892ED7">
      <w:pPr>
        <w:pStyle w:val="BodyText-Numbered"/>
        <w:ind w:left="426" w:hanging="426"/>
      </w:pPr>
      <w:r>
        <w:t>When sending your submission, please:</w:t>
      </w:r>
    </w:p>
    <w:p w14:paraId="1DBCED4F" w14:textId="77777777" w:rsidR="00892ED7" w:rsidRPr="00280A9C" w:rsidRDefault="00892ED7" w:rsidP="00892ED7">
      <w:pPr>
        <w:pStyle w:val="ListParagraph"/>
        <w:numPr>
          <w:ilvl w:val="1"/>
          <w:numId w:val="2"/>
        </w:numPr>
        <w:spacing w:after="0"/>
        <w:ind w:left="851" w:hanging="425"/>
        <w:jc w:val="left"/>
      </w:pPr>
      <w:r w:rsidRPr="00280A9C">
        <w:t xml:space="preserve">Delete </w:t>
      </w:r>
      <w:r>
        <w:t>this page</w:t>
      </w:r>
      <w:r w:rsidRPr="00280A9C">
        <w:t xml:space="preserve"> of instructions.</w:t>
      </w:r>
    </w:p>
    <w:p w14:paraId="73E8BA2D" w14:textId="28598947" w:rsidR="00892ED7" w:rsidRDefault="00892ED7" w:rsidP="00892ED7">
      <w:pPr>
        <w:pStyle w:val="BodyText-Numbered"/>
        <w:numPr>
          <w:ilvl w:val="1"/>
          <w:numId w:val="2"/>
        </w:numPr>
        <w:ind w:left="851" w:hanging="425"/>
      </w:pPr>
      <w:r>
        <w:rPr>
          <w:u w:val="single"/>
        </w:rPr>
        <w:t>Sa</w:t>
      </w:r>
      <w:r w:rsidRPr="009D0ED2">
        <w:rPr>
          <w:u w:val="single"/>
        </w:rPr>
        <w:t xml:space="preserve">ve your submission with your organisation </w:t>
      </w:r>
      <w:r>
        <w:rPr>
          <w:u w:val="single"/>
        </w:rPr>
        <w:t xml:space="preserve">or personal </w:t>
      </w:r>
      <w:r w:rsidRPr="009D0ED2">
        <w:rPr>
          <w:u w:val="single"/>
        </w:rPr>
        <w:t>name in the file name</w:t>
      </w:r>
      <w:r w:rsidR="008C4E9E" w:rsidRPr="008C4E9E">
        <w:t xml:space="preserve">. </w:t>
      </w:r>
      <w:r>
        <w:t xml:space="preserve"> </w:t>
      </w:r>
    </w:p>
    <w:p w14:paraId="51A64917" w14:textId="4E1F8125" w:rsidR="00094DB1" w:rsidRDefault="008C4E9E" w:rsidP="00892ED7">
      <w:pPr>
        <w:pStyle w:val="ListParagraph"/>
        <w:numPr>
          <w:ilvl w:val="1"/>
          <w:numId w:val="2"/>
        </w:numPr>
        <w:spacing w:after="0"/>
        <w:ind w:left="851" w:hanging="425"/>
        <w:jc w:val="left"/>
      </w:pPr>
      <w:r>
        <w:t xml:space="preserve">Email your submission, with </w:t>
      </w:r>
      <w:r w:rsidRPr="008C4E9E">
        <w:t>“</w:t>
      </w:r>
      <w:r>
        <w:rPr>
          <w:u w:val="single"/>
        </w:rPr>
        <w:t>Capital Markets Consultation” in the subject line</w:t>
      </w:r>
      <w:r w:rsidRPr="008C4E9E">
        <w:t xml:space="preserve">, </w:t>
      </w:r>
      <w:r>
        <w:t xml:space="preserve">to: </w:t>
      </w:r>
    </w:p>
    <w:p w14:paraId="734ED1B7" w14:textId="2D827419" w:rsidR="00094DB1" w:rsidRDefault="00094DB1" w:rsidP="00892ED7">
      <w:pPr>
        <w:pStyle w:val="BodyText-Numbered"/>
        <w:numPr>
          <w:ilvl w:val="2"/>
          <w:numId w:val="4"/>
        </w:numPr>
        <w:ind w:left="1276" w:hanging="425"/>
      </w:pPr>
      <w:r w:rsidRPr="0099056D">
        <w:rPr>
          <w:rStyle w:val="Hyperlink"/>
          <w:color w:val="215E99" w:themeColor="text2" w:themeTint="BF"/>
        </w:rPr>
        <w:t>financialmarkets@mbie.govt.nz</w:t>
      </w:r>
      <w:r w:rsidRPr="0099056D">
        <w:rPr>
          <w:b/>
          <w:i/>
          <w:color w:val="215E99" w:themeColor="text2" w:themeTint="BF"/>
        </w:rPr>
        <w:t xml:space="preserve"> </w:t>
      </w:r>
      <w:r w:rsidR="005F00A7">
        <w:t xml:space="preserve">as a Microsoft Word document </w:t>
      </w:r>
      <w:r w:rsidRPr="00D45048">
        <w:t>(</w:t>
      </w:r>
      <w:r w:rsidRPr="00250903">
        <w:rPr>
          <w:b/>
          <w:bCs/>
        </w:rPr>
        <w:t>preferred</w:t>
      </w:r>
      <w:r>
        <w:t>), or</w:t>
      </w:r>
    </w:p>
    <w:p w14:paraId="31D05BEF" w14:textId="3DC58ED6" w:rsidR="00094DB1" w:rsidRDefault="008C4E9E" w:rsidP="00892ED7">
      <w:pPr>
        <w:pStyle w:val="BodyText-Numbered"/>
        <w:numPr>
          <w:ilvl w:val="2"/>
          <w:numId w:val="4"/>
        </w:numPr>
        <w:ind w:left="1276" w:hanging="425"/>
      </w:pPr>
      <w:r>
        <w:t xml:space="preserve">you may also submit </w:t>
      </w:r>
      <w:r w:rsidR="00094DB1">
        <w:t>by mail to:</w:t>
      </w:r>
    </w:p>
    <w:p w14:paraId="21639C72" w14:textId="77777777" w:rsidR="00094DB1" w:rsidRPr="00D45048" w:rsidRDefault="00094DB1" w:rsidP="00094DB1">
      <w:pPr>
        <w:pStyle w:val="BodyText"/>
        <w:ind w:left="1440"/>
        <w:contextualSpacing/>
      </w:pPr>
      <w:r w:rsidRPr="00D45048">
        <w:t>Financial Markets Policy</w:t>
      </w:r>
    </w:p>
    <w:p w14:paraId="057572DF" w14:textId="77777777" w:rsidR="00094DB1" w:rsidRDefault="00094DB1" w:rsidP="00094DB1">
      <w:pPr>
        <w:pStyle w:val="BodyText"/>
        <w:ind w:left="1440"/>
        <w:contextualSpacing/>
      </w:pPr>
      <w:r>
        <w:t>Business, Resources and Markets</w:t>
      </w:r>
    </w:p>
    <w:p w14:paraId="05C483FF" w14:textId="77777777" w:rsidR="00094DB1" w:rsidRDefault="00094DB1" w:rsidP="00094DB1">
      <w:pPr>
        <w:pStyle w:val="BodyText"/>
        <w:ind w:left="1440"/>
        <w:contextualSpacing/>
      </w:pPr>
      <w:r>
        <w:t>Ministry of Business, Innovation &amp; Employment</w:t>
      </w:r>
      <w:r>
        <w:br/>
        <w:t>PO Box 1473</w:t>
      </w:r>
    </w:p>
    <w:p w14:paraId="5F087CD7" w14:textId="77777777" w:rsidR="00094DB1" w:rsidRDefault="00094DB1" w:rsidP="00094DB1">
      <w:pPr>
        <w:pStyle w:val="BodyText"/>
        <w:ind w:left="1440"/>
        <w:contextualSpacing/>
      </w:pPr>
      <w:r>
        <w:t>Wellington 6140</w:t>
      </w:r>
      <w:r>
        <w:br/>
      </w:r>
      <w:r w:rsidRPr="006238BD">
        <w:t>New Zealand</w:t>
      </w:r>
    </w:p>
    <w:bookmarkEnd w:id="1"/>
    <w:p w14:paraId="7236A992" w14:textId="77777777" w:rsidR="008C4E9E" w:rsidRDefault="008C4E9E">
      <w:pPr>
        <w:spacing w:after="160" w:line="278" w:lineRule="auto"/>
        <w:jc w:val="left"/>
      </w:pPr>
    </w:p>
    <w:p w14:paraId="37F4A96A" w14:textId="4414EF8C" w:rsidR="00094DB1" w:rsidRDefault="008C4E9E">
      <w:pPr>
        <w:spacing w:after="160" w:line="278" w:lineRule="auto"/>
        <w:jc w:val="left"/>
        <w:rPr>
          <w:rFonts w:asciiTheme="majorHAnsi" w:eastAsiaTheme="majorEastAsia" w:hAnsiTheme="majorHAnsi" w:cstheme="majorBidi"/>
          <w:color w:val="0F4761" w:themeColor="accent1" w:themeShade="BF"/>
          <w:sz w:val="32"/>
          <w:szCs w:val="32"/>
        </w:rPr>
      </w:pPr>
      <w:r>
        <w:t xml:space="preserve"> Please send any questions you have about the consultation process to the financial markets email above.</w:t>
      </w:r>
      <w:r w:rsidR="00094DB1">
        <w:br w:type="page"/>
      </w:r>
    </w:p>
    <w:p w14:paraId="63AA2E94" w14:textId="04D8CD36" w:rsidR="00094DB1" w:rsidRPr="005F00A7" w:rsidRDefault="00094DB1" w:rsidP="00094DB1">
      <w:pPr>
        <w:pStyle w:val="Heading2"/>
        <w:jc w:val="left"/>
        <w:rPr>
          <w:b/>
          <w:bCs/>
          <w:i/>
          <w:sz w:val="30"/>
          <w:szCs w:val="30"/>
        </w:rPr>
      </w:pPr>
      <w:r w:rsidRPr="005F00A7">
        <w:rPr>
          <w:b/>
          <w:bCs/>
          <w:color w:val="215E99" w:themeColor="text2" w:themeTint="BF"/>
          <w:sz w:val="30"/>
          <w:szCs w:val="30"/>
        </w:rPr>
        <w:t xml:space="preserve">Submission on discussion document: </w:t>
      </w:r>
      <w:bookmarkStart w:id="2" w:name="_Toc182829519"/>
      <w:bookmarkStart w:id="3" w:name="_Toc182925738"/>
      <w:bookmarkStart w:id="4" w:name="_Toc182925766"/>
      <w:sdt>
        <w:sdtPr>
          <w:rPr>
            <w:rFonts w:cs="Calibri"/>
            <w:b/>
            <w:bCs/>
            <w:i/>
            <w:iCs/>
            <w:color w:val="215E99" w:themeColor="text2" w:themeTint="BF"/>
            <w:kern w:val="0"/>
            <w:sz w:val="30"/>
            <w:szCs w:val="30"/>
            <w14:ligatures w14:val="none"/>
          </w:rPr>
          <w:alias w:val="Title"/>
          <w:tag w:val=""/>
          <w:id w:val="1485053136"/>
          <w:dataBinding w:prefixMappings="xmlns:ns0='http://purl.org/dc/elements/1.1/' xmlns:ns1='http://schemas.openxmlformats.org/package/2006/metadata/core-properties' " w:xpath="/ns1:coreProperties[1]/ns0:title[1]" w:storeItemID="{6C3C8BC8-F283-45AE-878A-BAB7291924A1}"/>
          <w:text/>
        </w:sdtPr>
        <w:sdtEndPr/>
        <w:sdtContent>
          <w:r w:rsidRPr="003A63C7">
            <w:rPr>
              <w:rFonts w:cs="Calibri"/>
              <w:b/>
              <w:bCs/>
              <w:i/>
              <w:iCs/>
              <w:color w:val="215E99" w:themeColor="text2" w:themeTint="BF"/>
              <w:kern w:val="0"/>
              <w:sz w:val="30"/>
              <w:szCs w:val="30"/>
              <w14:ligatures w14:val="none"/>
            </w:rPr>
            <w:t>Capital Markets Reforms Phase Two</w:t>
          </w:r>
        </w:sdtContent>
      </w:sdt>
      <w:bookmarkEnd w:id="2"/>
      <w:bookmarkEnd w:id="3"/>
      <w:bookmarkEnd w:id="4"/>
    </w:p>
    <w:p w14:paraId="12C9C1E1" w14:textId="6675EAC7" w:rsidR="00094DB1" w:rsidRPr="00094DB1" w:rsidRDefault="005F00A7" w:rsidP="00094DB1">
      <w:pPr>
        <w:pStyle w:val="Heading3"/>
        <w:rPr>
          <w:color w:val="215E99" w:themeColor="text2" w:themeTint="BF"/>
        </w:rPr>
      </w:pPr>
      <w:r>
        <w:rPr>
          <w:color w:val="215E99" w:themeColor="text2" w:themeTint="BF"/>
        </w:rPr>
        <w:br/>
      </w:r>
      <w:r w:rsidR="00094DB1" w:rsidRPr="00094DB1">
        <w:rPr>
          <w:color w:val="215E99" w:themeColor="text2" w:themeTint="BF"/>
        </w:rPr>
        <w:t>Your name and organisation</w:t>
      </w: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838"/>
        <w:gridCol w:w="8505"/>
      </w:tblGrid>
      <w:tr w:rsidR="00094DB1" w:rsidRPr="00AE6026" w14:paraId="25016B47" w14:textId="77777777" w:rsidTr="00E45C53">
        <w:tc>
          <w:tcPr>
            <w:tcW w:w="1838" w:type="dxa"/>
            <w:tcBorders>
              <w:top w:val="single" w:sz="36"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611F8D9B" w14:textId="77777777" w:rsidR="00094DB1" w:rsidRPr="00AE6026" w:rsidRDefault="00094DB1" w:rsidP="005F00A7">
            <w:pPr>
              <w:jc w:val="left"/>
              <w:rPr>
                <w:b/>
                <w:bCs/>
              </w:rPr>
            </w:pPr>
            <w:r w:rsidRPr="00AE6026">
              <w:rPr>
                <w:b/>
                <w:bCs/>
              </w:rPr>
              <w:t>Name</w:t>
            </w:r>
          </w:p>
        </w:tc>
        <w:tc>
          <w:tcPr>
            <w:tcW w:w="8505" w:type="dxa"/>
            <w:tcBorders>
              <w:top w:val="single" w:sz="36"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2886E58" w14:textId="77777777" w:rsidR="00094DB1" w:rsidRDefault="00094DB1" w:rsidP="005F00A7">
            <w:pPr>
              <w:jc w:val="left"/>
            </w:pPr>
          </w:p>
          <w:p w14:paraId="16FDE330" w14:textId="77777777" w:rsidR="00094DB1" w:rsidRPr="00AE6026" w:rsidRDefault="00094DB1" w:rsidP="005F00A7">
            <w:pPr>
              <w:jc w:val="left"/>
            </w:pPr>
          </w:p>
        </w:tc>
      </w:tr>
      <w:tr w:rsidR="00094DB1" w:rsidRPr="00AE6026" w14:paraId="7CFD10BC" w14:textId="77777777" w:rsidTr="00E45C53">
        <w:tc>
          <w:tcPr>
            <w:tcW w:w="183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27D372B" w14:textId="77777777" w:rsidR="00094DB1" w:rsidRPr="00AE6026" w:rsidRDefault="00094DB1" w:rsidP="005F00A7">
            <w:pPr>
              <w:jc w:val="left"/>
              <w:rPr>
                <w:b/>
                <w:bCs/>
              </w:rPr>
            </w:pPr>
            <w:r>
              <w:rPr>
                <w:b/>
                <w:bCs/>
              </w:rPr>
              <w:t>Date</w:t>
            </w:r>
          </w:p>
        </w:tc>
        <w:tc>
          <w:tcPr>
            <w:tcW w:w="85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307499E" w14:textId="77777777" w:rsidR="00094DB1" w:rsidRDefault="00094DB1" w:rsidP="005F00A7">
            <w:pPr>
              <w:jc w:val="left"/>
            </w:pPr>
          </w:p>
          <w:p w14:paraId="58BA452F" w14:textId="77777777" w:rsidR="005F00A7" w:rsidRDefault="005F00A7" w:rsidP="005F00A7">
            <w:pPr>
              <w:jc w:val="left"/>
            </w:pPr>
          </w:p>
        </w:tc>
      </w:tr>
      <w:tr w:rsidR="00094DB1" w:rsidRPr="00AE6026" w14:paraId="58F766FC" w14:textId="77777777" w:rsidTr="00E45C53">
        <w:tc>
          <w:tcPr>
            <w:tcW w:w="183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1377F562" w14:textId="77777777" w:rsidR="00094DB1" w:rsidRPr="00AE6026" w:rsidRDefault="00094DB1" w:rsidP="005F00A7">
            <w:pPr>
              <w:jc w:val="left"/>
              <w:rPr>
                <w:b/>
                <w:bCs/>
              </w:rPr>
            </w:pPr>
            <w:r w:rsidRPr="00AE6026">
              <w:rPr>
                <w:b/>
                <w:bCs/>
              </w:rPr>
              <w:t>Organisation</w:t>
            </w:r>
            <w:r>
              <w:rPr>
                <w:b/>
                <w:bCs/>
              </w:rPr>
              <w:t xml:space="preserve"> </w:t>
            </w:r>
            <w:r>
              <w:rPr>
                <w:b/>
                <w:bCs/>
              </w:rPr>
              <w:br/>
              <w:t>(if applicable)</w:t>
            </w:r>
          </w:p>
        </w:tc>
        <w:tc>
          <w:tcPr>
            <w:tcW w:w="85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7C0D7874" w14:textId="77777777" w:rsidR="00094DB1" w:rsidRDefault="00094DB1" w:rsidP="005F00A7">
            <w:pPr>
              <w:jc w:val="left"/>
            </w:pPr>
          </w:p>
          <w:p w14:paraId="2BD301C3" w14:textId="77777777" w:rsidR="00094DB1" w:rsidRPr="00AE6026" w:rsidRDefault="00094DB1" w:rsidP="005F00A7">
            <w:pPr>
              <w:jc w:val="left"/>
            </w:pPr>
          </w:p>
        </w:tc>
      </w:tr>
      <w:tr w:rsidR="00377419" w:rsidRPr="00AE6026" w14:paraId="790E0ECE" w14:textId="77777777" w:rsidTr="00E45C53">
        <w:tc>
          <w:tcPr>
            <w:tcW w:w="1838"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49E75F82" w14:textId="47B12F0D" w:rsidR="00377419" w:rsidRPr="00AE6026" w:rsidRDefault="00377419" w:rsidP="005F00A7">
            <w:pPr>
              <w:jc w:val="left"/>
              <w:rPr>
                <w:b/>
                <w:bCs/>
              </w:rPr>
            </w:pPr>
            <w:r>
              <w:rPr>
                <w:b/>
                <w:bCs/>
              </w:rPr>
              <w:t xml:space="preserve">Responding </w:t>
            </w:r>
            <w:r w:rsidR="00FA2837">
              <w:rPr>
                <w:b/>
                <w:bCs/>
              </w:rPr>
              <w:t xml:space="preserve">primarily </w:t>
            </w:r>
            <w:r>
              <w:rPr>
                <w:b/>
                <w:bCs/>
              </w:rPr>
              <w:t>as</w:t>
            </w:r>
            <w:r w:rsidR="00E45C53">
              <w:rPr>
                <w:b/>
                <w:bCs/>
              </w:rPr>
              <w:t xml:space="preserve"> or on behalf of </w:t>
            </w:r>
            <w:r>
              <w:rPr>
                <w:b/>
                <w:bCs/>
              </w:rPr>
              <w:t>…</w:t>
            </w:r>
          </w:p>
        </w:tc>
        <w:tc>
          <w:tcPr>
            <w:tcW w:w="8505" w:type="dxa"/>
            <w:tcBorders>
              <w:top w:val="single" w:sz="4" w:space="0" w:color="215E99" w:themeColor="text2" w:themeTint="BF"/>
              <w:left w:val="single" w:sz="4" w:space="0" w:color="215E99" w:themeColor="text2" w:themeTint="BF"/>
              <w:bottom w:val="single" w:sz="4" w:space="0" w:color="215E99" w:themeColor="text2" w:themeTint="BF"/>
              <w:right w:val="single" w:sz="4" w:space="0" w:color="215E99" w:themeColor="text2" w:themeTint="BF"/>
            </w:tcBorders>
            <w:vAlign w:val="center"/>
          </w:tcPr>
          <w:p w14:paraId="5FC71E50" w14:textId="77777777" w:rsidR="00D56BFB" w:rsidRDefault="00D56BFB" w:rsidP="00D56BFB">
            <w:pPr>
              <w:pStyle w:val="ListParagraph"/>
              <w:numPr>
                <w:ilvl w:val="0"/>
                <w:numId w:val="10"/>
              </w:numPr>
              <w:ind w:left="457" w:hanging="457"/>
              <w:jc w:val="left"/>
            </w:pPr>
            <w:r>
              <w:t>Investor / investor interests</w:t>
            </w:r>
          </w:p>
          <w:p w14:paraId="19F55709" w14:textId="5C225C04" w:rsidR="00377419" w:rsidRDefault="00D56BFB" w:rsidP="00D56BFB">
            <w:pPr>
              <w:pStyle w:val="ListParagraph"/>
              <w:numPr>
                <w:ilvl w:val="0"/>
                <w:numId w:val="10"/>
              </w:numPr>
              <w:ind w:left="457" w:hanging="457"/>
              <w:jc w:val="left"/>
            </w:pPr>
            <w:r>
              <w:t>Company / b</w:t>
            </w:r>
            <w:r w:rsidR="00E45C53">
              <w:t xml:space="preserve">usiness </w:t>
            </w:r>
            <w:r>
              <w:t>/ issuer</w:t>
            </w:r>
          </w:p>
          <w:p w14:paraId="4C59A612" w14:textId="302F3415" w:rsidR="00E45C53" w:rsidRDefault="00E45C53" w:rsidP="00D56BFB">
            <w:pPr>
              <w:pStyle w:val="ListParagraph"/>
              <w:numPr>
                <w:ilvl w:val="0"/>
                <w:numId w:val="10"/>
              </w:numPr>
              <w:ind w:left="457" w:hanging="457"/>
              <w:jc w:val="left"/>
            </w:pPr>
            <w:r>
              <w:t>Fund manager</w:t>
            </w:r>
            <w:r w:rsidR="00D56BFB">
              <w:t xml:space="preserve"> / KiwiSaver provider</w:t>
            </w:r>
          </w:p>
          <w:p w14:paraId="09E555DC" w14:textId="77777777" w:rsidR="00E45C53" w:rsidRDefault="00E45C53" w:rsidP="00D56BFB">
            <w:pPr>
              <w:pStyle w:val="ListParagraph"/>
              <w:numPr>
                <w:ilvl w:val="0"/>
                <w:numId w:val="10"/>
              </w:numPr>
              <w:ind w:left="457" w:hanging="457"/>
              <w:jc w:val="left"/>
            </w:pPr>
            <w:r>
              <w:t>Financial advisor</w:t>
            </w:r>
          </w:p>
          <w:p w14:paraId="3BAE299B" w14:textId="438A0803" w:rsidR="008E38F0" w:rsidRDefault="008E38F0" w:rsidP="00D56BFB">
            <w:pPr>
              <w:pStyle w:val="ListParagraph"/>
              <w:numPr>
                <w:ilvl w:val="0"/>
                <w:numId w:val="10"/>
              </w:numPr>
              <w:ind w:left="457" w:hanging="457"/>
              <w:jc w:val="left"/>
            </w:pPr>
            <w:r>
              <w:t>Lawyer / legal analyst</w:t>
            </w:r>
          </w:p>
          <w:p w14:paraId="1EEDE344" w14:textId="5FDBBDF2" w:rsidR="00E45C53" w:rsidRDefault="00E45C53" w:rsidP="00D56BFB">
            <w:pPr>
              <w:pStyle w:val="ListParagraph"/>
              <w:numPr>
                <w:ilvl w:val="0"/>
                <w:numId w:val="10"/>
              </w:numPr>
              <w:ind w:left="457" w:hanging="457"/>
              <w:jc w:val="left"/>
            </w:pPr>
            <w:r>
              <w:t xml:space="preserve">Economist or </w:t>
            </w:r>
            <w:r w:rsidR="008E38F0">
              <w:t>academic</w:t>
            </w:r>
          </w:p>
          <w:p w14:paraId="4C47C99B" w14:textId="6EA86359" w:rsidR="00D56BFB" w:rsidRDefault="00D56BFB" w:rsidP="00D56BFB">
            <w:pPr>
              <w:pStyle w:val="ListParagraph"/>
              <w:numPr>
                <w:ilvl w:val="0"/>
                <w:numId w:val="10"/>
              </w:numPr>
              <w:ind w:left="457" w:hanging="457"/>
              <w:jc w:val="left"/>
            </w:pPr>
            <w:r>
              <w:t>Other ___________________________</w:t>
            </w:r>
          </w:p>
        </w:tc>
      </w:tr>
      <w:tr w:rsidR="00094DB1" w:rsidRPr="00AE6026" w14:paraId="385FCFF2" w14:textId="77777777" w:rsidTr="00E45C53">
        <w:tc>
          <w:tcPr>
            <w:tcW w:w="1838" w:type="dxa"/>
            <w:tcBorders>
              <w:top w:val="single" w:sz="4" w:space="0" w:color="215E99" w:themeColor="text2" w:themeTint="BF"/>
              <w:left w:val="single" w:sz="4" w:space="0" w:color="215E99" w:themeColor="text2" w:themeTint="BF"/>
              <w:bottom w:val="single" w:sz="36" w:space="0" w:color="215E99" w:themeColor="text2" w:themeTint="BF"/>
              <w:right w:val="single" w:sz="4" w:space="0" w:color="215E99" w:themeColor="text2" w:themeTint="BF"/>
            </w:tcBorders>
            <w:vAlign w:val="center"/>
          </w:tcPr>
          <w:p w14:paraId="1E78B72D" w14:textId="09A007AC" w:rsidR="00094DB1" w:rsidRPr="00AE6026" w:rsidRDefault="00094DB1" w:rsidP="005F00A7">
            <w:pPr>
              <w:jc w:val="left"/>
              <w:rPr>
                <w:b/>
                <w:bCs/>
              </w:rPr>
            </w:pPr>
            <w:r>
              <w:rPr>
                <w:b/>
                <w:bCs/>
              </w:rPr>
              <w:t>Contact details</w:t>
            </w:r>
          </w:p>
        </w:tc>
        <w:tc>
          <w:tcPr>
            <w:tcW w:w="8505" w:type="dxa"/>
            <w:tcBorders>
              <w:top w:val="single" w:sz="4" w:space="0" w:color="215E99" w:themeColor="text2" w:themeTint="BF"/>
              <w:left w:val="single" w:sz="4" w:space="0" w:color="215E99" w:themeColor="text2" w:themeTint="BF"/>
              <w:bottom w:val="single" w:sz="36" w:space="0" w:color="215E99" w:themeColor="text2" w:themeTint="BF"/>
              <w:right w:val="single" w:sz="4" w:space="0" w:color="215E99" w:themeColor="text2" w:themeTint="BF"/>
            </w:tcBorders>
            <w:vAlign w:val="center"/>
          </w:tcPr>
          <w:p w14:paraId="1818027B" w14:textId="77777777" w:rsidR="00094DB1" w:rsidRDefault="00094DB1" w:rsidP="005F00A7">
            <w:pPr>
              <w:jc w:val="left"/>
            </w:pPr>
          </w:p>
          <w:p w14:paraId="6C23E6F2" w14:textId="77777777" w:rsidR="00094DB1" w:rsidRDefault="00094DB1" w:rsidP="005F00A7">
            <w:pPr>
              <w:jc w:val="left"/>
            </w:pPr>
          </w:p>
        </w:tc>
      </w:tr>
    </w:tbl>
    <w:p w14:paraId="4EB93E78" w14:textId="77777777" w:rsidR="00094DB1" w:rsidRPr="00094DB1" w:rsidRDefault="00094DB1" w:rsidP="00094DB1">
      <w:pPr>
        <w:pStyle w:val="Heading3"/>
        <w:rPr>
          <w:color w:val="215E99" w:themeColor="text2" w:themeTint="BF"/>
        </w:rPr>
      </w:pPr>
      <w:r w:rsidRPr="00094DB1">
        <w:rPr>
          <w:color w:val="215E99" w:themeColor="text2" w:themeTint="BF"/>
        </w:rPr>
        <w:t>Privacy and publication of responses</w:t>
      </w:r>
    </w:p>
    <w:p w14:paraId="339E6D57" w14:textId="77777777" w:rsidR="00094DB1" w:rsidRPr="00DD1F99" w:rsidRDefault="00094DB1" w:rsidP="00094DB1">
      <w:pPr>
        <w:spacing w:before="240"/>
      </w:pPr>
      <w:r w:rsidRPr="00DD1F99">
        <w:t>[</w:t>
      </w:r>
      <w:r>
        <w:t>To tick a box below, d</w:t>
      </w:r>
      <w:r w:rsidRPr="00DD1F99">
        <w:t>ouble click on check boxes, then select ‘checked’</w:t>
      </w:r>
      <w:r>
        <w:t>.]</w:t>
      </w:r>
    </w:p>
    <w:p w14:paraId="5FD58416" w14:textId="5D1F670E" w:rsidR="00094DB1" w:rsidRDefault="005F00A7" w:rsidP="00094DB1">
      <w:pPr>
        <w:spacing w:before="240"/>
      </w:pPr>
      <w:r>
        <w:rPr>
          <w:rFonts w:ascii="MS Gothic" w:eastAsia="MS Gothic" w:hAnsi="MS Gothic"/>
          <w:lang w:val="en-US"/>
        </w:rPr>
        <w:fldChar w:fldCharType="begin">
          <w:ffData>
            <w:name w:val="Check1"/>
            <w:enabled/>
            <w:calcOnExit w:val="0"/>
            <w:checkBox>
              <w:sizeAuto/>
              <w:default w:val="0"/>
            </w:checkBox>
          </w:ffData>
        </w:fldChar>
      </w:r>
      <w:bookmarkStart w:id="5" w:name="Check1"/>
      <w:r>
        <w:rPr>
          <w:rFonts w:ascii="MS Gothic" w:eastAsia="MS Gothic" w:hAnsi="MS Gothic"/>
          <w:lang w:val="en-US"/>
        </w:rPr>
        <w:instrText xml:space="preserve"> FORMCHECKBOX </w:instrText>
      </w:r>
      <w:r>
        <w:rPr>
          <w:rFonts w:ascii="MS Gothic" w:eastAsia="MS Gothic" w:hAnsi="MS Gothic"/>
          <w:lang w:val="en-US"/>
        </w:rPr>
      </w:r>
      <w:r>
        <w:rPr>
          <w:rFonts w:ascii="MS Gothic" w:eastAsia="MS Gothic" w:hAnsi="MS Gothic"/>
          <w:lang w:val="en-US"/>
        </w:rPr>
        <w:fldChar w:fldCharType="separate"/>
      </w:r>
      <w:r>
        <w:rPr>
          <w:rFonts w:ascii="MS Gothic" w:eastAsia="MS Gothic" w:hAnsi="MS Gothic"/>
          <w:lang w:val="en-US"/>
        </w:rPr>
        <w:fldChar w:fldCharType="end"/>
      </w:r>
      <w:bookmarkEnd w:id="5"/>
      <w:r w:rsidR="00094DB1">
        <w:rPr>
          <w:rFonts w:ascii="MS Gothic" w:eastAsia="MS Gothic" w:hAnsi="MS Gothic"/>
          <w:lang w:val="en-US"/>
        </w:rPr>
        <w:t xml:space="preserve"> </w:t>
      </w:r>
      <w:r w:rsidR="00094DB1">
        <w:t xml:space="preserve">The Privacy Act 2020 applies to submissions. Please check this box if you do </w:t>
      </w:r>
      <w:r w:rsidR="00094DB1" w:rsidRPr="00BF0D04">
        <w:rPr>
          <w:u w:val="single"/>
        </w:rPr>
        <w:t>not</w:t>
      </w:r>
      <w:r w:rsidR="00094DB1">
        <w:t xml:space="preserve"> wish your name or other personal information to be included in any information about submissions that MBIE may publish.</w:t>
      </w:r>
    </w:p>
    <w:p w14:paraId="1D3925E6" w14:textId="77777777" w:rsidR="00094DB1" w:rsidRDefault="00094DB1" w:rsidP="00094DB1">
      <w:pPr>
        <w:spacing w:before="240"/>
      </w:pPr>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w:instrText>
      </w:r>
      <w:r>
        <w:rPr>
          <w:rFonts w:ascii="MS Gothic" w:eastAsia="MS Gothic" w:hAnsi="MS Gothic" w:hint="eastAsia"/>
          <w:lang w:val="en-US"/>
        </w:rPr>
        <w:instrText>FORMCHECKBOX</w:instrText>
      </w:r>
      <w:r>
        <w:rPr>
          <w:rFonts w:ascii="MS Gothic" w:eastAsia="MS Gothic" w:hAnsi="MS Gothic"/>
          <w:lang w:val="en-US"/>
        </w:rPr>
        <w:instrText xml:space="preserve"> </w:instrText>
      </w:r>
      <w:r>
        <w:rPr>
          <w:rFonts w:ascii="MS Gothic" w:eastAsia="MS Gothic" w:hAnsi="MS Gothic"/>
          <w:lang w:val="en-US"/>
        </w:rPr>
      </w:r>
      <w:r>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MBIE intends to upload submissions received to MBIE’s website at </w:t>
      </w:r>
      <w:hyperlink r:id="rId6" w:history="1">
        <w:r w:rsidRPr="002D683F">
          <w:rPr>
            <w:rStyle w:val="Hyperlink"/>
            <w:color w:val="215E99" w:themeColor="text2" w:themeTint="BF"/>
          </w:rPr>
          <w:t>www.mbie.govt.nz</w:t>
        </w:r>
      </w:hyperlink>
      <w:r w:rsidRPr="002D683F">
        <w:rPr>
          <w:color w:val="215E99" w:themeColor="text2" w:themeTint="BF"/>
        </w:rPr>
        <w:t>.</w:t>
      </w:r>
      <w:r>
        <w:t xml:space="preserve"> If you do </w:t>
      </w:r>
      <w:r w:rsidRPr="00BF0D04">
        <w:rPr>
          <w:u w:val="single"/>
        </w:rPr>
        <w:t>not</w:t>
      </w:r>
      <w:r>
        <w:t xml:space="preserve"> want your submission to be placed on our website, please check the box and provide an explanation in the box below. </w:t>
      </w:r>
    </w:p>
    <w:p w14:paraId="346F9D3B"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r>
        <w:t>I do not want my submission placed on MBIE’s website because… [</w:t>
      </w:r>
      <w:r w:rsidRPr="004B08C6">
        <w:rPr>
          <w:i/>
          <w:iCs/>
        </w:rPr>
        <w:t>Insert text</w:t>
      </w:r>
      <w:r>
        <w:t>]</w:t>
      </w:r>
    </w:p>
    <w:p w14:paraId="38EFAE82"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p>
    <w:p w14:paraId="5E069567"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p>
    <w:p w14:paraId="3D9E8B00" w14:textId="77777777" w:rsidR="00094DB1" w:rsidRPr="005F00A7" w:rsidRDefault="00094DB1" w:rsidP="00094DB1">
      <w:pPr>
        <w:pStyle w:val="Heading3"/>
        <w:rPr>
          <w:color w:val="215E99" w:themeColor="text2" w:themeTint="BF"/>
        </w:rPr>
      </w:pPr>
      <w:r w:rsidRPr="005F00A7">
        <w:rPr>
          <w:color w:val="215E99" w:themeColor="text2" w:themeTint="BF"/>
        </w:rPr>
        <w:t>Please check if your submission contains confidential information</w:t>
      </w:r>
    </w:p>
    <w:p w14:paraId="06475F23" w14:textId="77777777" w:rsidR="00094DB1" w:rsidRDefault="00094DB1" w:rsidP="00094DB1">
      <w:r>
        <w:rPr>
          <w:rFonts w:ascii="MS Gothic" w:eastAsia="MS Gothic" w:hAnsi="MS Gothic"/>
          <w:lang w:val="en-US"/>
        </w:rPr>
        <w:fldChar w:fldCharType="begin">
          <w:ffData>
            <w:name w:val=""/>
            <w:enabled/>
            <w:calcOnExit w:val="0"/>
            <w:checkBox>
              <w:sizeAuto/>
              <w:default w:val="0"/>
            </w:checkBox>
          </w:ffData>
        </w:fldChar>
      </w:r>
      <w:r>
        <w:rPr>
          <w:rFonts w:ascii="MS Gothic" w:eastAsia="MS Gothic" w:hAnsi="MS Gothic"/>
          <w:lang w:val="en-US"/>
        </w:rPr>
        <w:instrText xml:space="preserve"> FORMCHECKBOX </w:instrText>
      </w:r>
      <w:r>
        <w:rPr>
          <w:rFonts w:ascii="MS Gothic" w:eastAsia="MS Gothic" w:hAnsi="MS Gothic"/>
          <w:lang w:val="en-US"/>
        </w:rPr>
      </w:r>
      <w:r>
        <w:rPr>
          <w:rFonts w:ascii="MS Gothic" w:eastAsia="MS Gothic" w:hAnsi="MS Gothic"/>
          <w:lang w:val="en-US"/>
        </w:rPr>
        <w:fldChar w:fldCharType="separate"/>
      </w:r>
      <w:r>
        <w:rPr>
          <w:rFonts w:ascii="MS Gothic" w:eastAsia="MS Gothic" w:hAnsi="MS Gothic"/>
          <w:lang w:val="en-US"/>
        </w:rPr>
        <w:fldChar w:fldCharType="end"/>
      </w:r>
      <w:r>
        <w:rPr>
          <w:rFonts w:ascii="MS Gothic" w:eastAsia="MS Gothic" w:hAnsi="MS Gothic"/>
          <w:lang w:val="en-US"/>
        </w:rPr>
        <w:t xml:space="preserve"> </w:t>
      </w:r>
      <w:r>
        <w:t xml:space="preserve">I would like my submission (or identified parts of my submission) to be kept confidential, and </w:t>
      </w:r>
      <w:r>
        <w:rPr>
          <w:b/>
          <w:u w:val="single"/>
        </w:rPr>
        <w:t>have stated below</w:t>
      </w:r>
      <w:r w:rsidRPr="00125D07">
        <w:rPr>
          <w:b/>
        </w:rPr>
        <w:t xml:space="preserve"> </w:t>
      </w:r>
      <w:r w:rsidRPr="00125D07">
        <w:t>my reasons</w:t>
      </w:r>
      <w:r>
        <w:t xml:space="preserve"> and grounds under the Official Information Act that I believe apply, for consideration by MBIE.</w:t>
      </w:r>
    </w:p>
    <w:p w14:paraId="7B1976E9"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r>
        <w:t>I would like my submission (or identified parts of my submission) to be kept confidential because… [</w:t>
      </w:r>
      <w:r w:rsidRPr="004B08C6">
        <w:rPr>
          <w:i/>
          <w:iCs/>
        </w:rPr>
        <w:t>Insert text</w:t>
      </w:r>
      <w:r>
        <w:t>]</w:t>
      </w:r>
    </w:p>
    <w:p w14:paraId="1AF3C780"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p>
    <w:p w14:paraId="153940E9" w14:textId="77777777" w:rsidR="00094DB1" w:rsidRDefault="00094DB1" w:rsidP="00094DB1">
      <w:pPr>
        <w:pBdr>
          <w:top w:val="single" w:sz="4" w:space="1" w:color="auto"/>
          <w:left w:val="single" w:sz="4" w:space="4" w:color="auto"/>
          <w:bottom w:val="single" w:sz="4" w:space="1" w:color="auto"/>
          <w:right w:val="single" w:sz="4" w:space="4" w:color="auto"/>
        </w:pBdr>
        <w:spacing w:before="240"/>
      </w:pPr>
    </w:p>
    <w:p w14:paraId="507BE217" w14:textId="77777777" w:rsidR="00094DB1" w:rsidRDefault="00094DB1" w:rsidP="00094DB1">
      <w:pPr>
        <w:pStyle w:val="Heading3"/>
      </w:pPr>
      <w:r>
        <w:br w:type="page"/>
      </w:r>
    </w:p>
    <w:p w14:paraId="13F762CA" w14:textId="24AF8515" w:rsidR="00B42B44" w:rsidRPr="00B42B44" w:rsidRDefault="00B42B44" w:rsidP="00B42B44">
      <w:pPr>
        <w:pStyle w:val="Heading1"/>
        <w:spacing w:before="120"/>
        <w:rPr>
          <w:rFonts w:ascii="Calibri" w:hAnsi="Calibri" w:cs="Calibri"/>
          <w:b/>
          <w:bCs/>
          <w:color w:val="215E99" w:themeColor="text2" w:themeTint="BF"/>
        </w:rPr>
      </w:pPr>
      <w:r w:rsidRPr="00B42B44">
        <w:rPr>
          <w:rFonts w:ascii="Calibri" w:hAnsi="Calibri" w:cs="Calibri"/>
          <w:b/>
          <w:bCs/>
          <w:color w:val="215E99" w:themeColor="text2" w:themeTint="BF"/>
        </w:rPr>
        <w:t>Capital Markets Reforms Phase Two</w:t>
      </w:r>
    </w:p>
    <w:p w14:paraId="5466F6D1" w14:textId="6E806D59" w:rsidR="00B42B44" w:rsidRPr="0038187C" w:rsidRDefault="005F00A7" w:rsidP="00B42B44">
      <w:pPr>
        <w:rPr>
          <w:color w:val="215E99" w:themeColor="text2" w:themeTint="BF"/>
          <w:sz w:val="40"/>
          <w:szCs w:val="40"/>
        </w:rPr>
      </w:pPr>
      <w:r>
        <w:rPr>
          <w:color w:val="215E99" w:themeColor="text2" w:themeTint="BF"/>
          <w:sz w:val="40"/>
          <w:szCs w:val="40"/>
        </w:rPr>
        <w:t>Submission</w:t>
      </w:r>
      <w:r w:rsidR="00B42B44" w:rsidRPr="0038187C">
        <w:rPr>
          <w:color w:val="215E99" w:themeColor="text2" w:themeTint="BF"/>
          <w:sz w:val="40"/>
          <w:szCs w:val="40"/>
        </w:rPr>
        <w:t xml:space="preserve"> </w:t>
      </w:r>
      <w:r>
        <w:rPr>
          <w:color w:val="215E99" w:themeColor="text2" w:themeTint="BF"/>
          <w:sz w:val="40"/>
          <w:szCs w:val="40"/>
        </w:rPr>
        <w:t>t</w:t>
      </w:r>
      <w:r w:rsidR="00B42B44" w:rsidRPr="0038187C">
        <w:rPr>
          <w:color w:val="215E99" w:themeColor="text2" w:themeTint="BF"/>
          <w:sz w:val="40"/>
          <w:szCs w:val="40"/>
        </w:rPr>
        <w:t xml:space="preserve">emplate </w:t>
      </w:r>
    </w:p>
    <w:tbl>
      <w:tblPr>
        <w:tblW w:w="1020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1"/>
        <w:gridCol w:w="59"/>
        <w:gridCol w:w="42"/>
        <w:gridCol w:w="9554"/>
      </w:tblGrid>
      <w:tr w:rsidR="00B42B44" w:rsidRPr="000408A8" w14:paraId="5F87CE6E"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215E99" w:themeFill="text2" w:themeFillTint="BF"/>
            <w:vAlign w:val="center"/>
          </w:tcPr>
          <w:bookmarkEnd w:id="0"/>
          <w:p w14:paraId="354CD4AD" w14:textId="3D8180EA" w:rsidR="00B42B44" w:rsidRPr="00A83A3B" w:rsidRDefault="00B42B44" w:rsidP="00A83A3B">
            <w:pPr>
              <w:spacing w:after="0"/>
              <w:jc w:val="left"/>
              <w:rPr>
                <w:rFonts w:cs="Calibri"/>
                <w:b/>
                <w:bCs/>
                <w:sz w:val="24"/>
              </w:rPr>
            </w:pPr>
            <w:r w:rsidRPr="00A83A3B">
              <w:rPr>
                <w:rFonts w:cs="Calibri"/>
                <w:b/>
                <w:bCs/>
                <w:color w:val="FFFFFF" w:themeColor="background1"/>
                <w:sz w:val="24"/>
              </w:rPr>
              <w:t>New Zealand’s approach to capital markets regulation</w:t>
            </w:r>
          </w:p>
        </w:tc>
      </w:tr>
      <w:tr w:rsidR="003D6E7E" w:rsidRPr="00CF323C" w14:paraId="3E255B40"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78074D24"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0.1</w:t>
            </w:r>
          </w:p>
        </w:tc>
        <w:tc>
          <w:tcPr>
            <w:tcW w:w="9596" w:type="dxa"/>
            <w:gridSpan w:val="2"/>
            <w:tcBorders>
              <w:top w:val="single" w:sz="8" w:space="0" w:color="FFFFFF"/>
              <w:left w:val="nil"/>
              <w:bottom w:val="single" w:sz="4" w:space="0" w:color="auto"/>
              <w:right w:val="single" w:sz="4" w:space="0" w:color="auto"/>
            </w:tcBorders>
            <w:shd w:val="clear" w:color="auto" w:fill="DAE9F7" w:themeFill="text2" w:themeFillTint="1A"/>
            <w:vAlign w:val="center"/>
          </w:tcPr>
          <w:p w14:paraId="4B274F98" w14:textId="77777777" w:rsidR="003D6E7E" w:rsidRPr="00367713" w:rsidRDefault="003D6E7E" w:rsidP="00CB731D">
            <w:pPr>
              <w:spacing w:after="0"/>
              <w:jc w:val="left"/>
              <w:rPr>
                <w:rFonts w:eastAsia="MS Mincho" w:cs="Calibri"/>
                <w:szCs w:val="22"/>
                <w:lang w:eastAsia="ko-KR"/>
              </w:rPr>
            </w:pPr>
            <w:r w:rsidRPr="00367713">
              <w:rPr>
                <w:szCs w:val="22"/>
              </w:rPr>
              <w:t xml:space="preserve">What regulatory settings would you like to see considered for change in the next phase? </w:t>
            </w:r>
          </w:p>
        </w:tc>
      </w:tr>
      <w:tr w:rsidR="003D6E7E" w:rsidRPr="00CF323C" w14:paraId="3D9B5C1D"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10D1AC04"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3E47F49C" w14:textId="77777777" w:rsidR="003D6E7E" w:rsidRDefault="003D6E7E" w:rsidP="00CB731D">
            <w:pPr>
              <w:spacing w:after="0"/>
              <w:jc w:val="left"/>
              <w:rPr>
                <w:szCs w:val="22"/>
              </w:rPr>
            </w:pPr>
          </w:p>
          <w:p w14:paraId="56C0CD93" w14:textId="77777777" w:rsidR="009D0ED2" w:rsidRPr="00367713" w:rsidRDefault="009D0ED2" w:rsidP="00CB731D">
            <w:pPr>
              <w:spacing w:after="0"/>
              <w:jc w:val="left"/>
              <w:rPr>
                <w:szCs w:val="22"/>
              </w:rPr>
            </w:pPr>
          </w:p>
        </w:tc>
      </w:tr>
      <w:tr w:rsidR="003D6E7E" w:rsidRPr="00CF323C" w14:paraId="6F8EAB5B"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3A2A88B5"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0.2</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CCB5529" w14:textId="77777777" w:rsidR="003D6E7E" w:rsidRPr="00367713" w:rsidRDefault="003D6E7E" w:rsidP="00CB731D">
            <w:pPr>
              <w:spacing w:after="0"/>
              <w:jc w:val="left"/>
              <w:rPr>
                <w:rFonts w:eastAsia="MS Mincho" w:cs="Calibri"/>
                <w:szCs w:val="22"/>
                <w:lang w:eastAsia="ko-KR"/>
              </w:rPr>
            </w:pPr>
            <w:r w:rsidRPr="00367713">
              <w:rPr>
                <w:szCs w:val="22"/>
              </w:rPr>
              <w:t>Do you support the three objectives for change framing this document? What objectives would you recommend to guide considerations of future changes?</w:t>
            </w:r>
          </w:p>
        </w:tc>
      </w:tr>
      <w:tr w:rsidR="003D6E7E" w:rsidRPr="00CF323C" w14:paraId="22949111"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044443E2"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2ADE5ACA" w14:textId="77777777" w:rsidR="003D6E7E" w:rsidRPr="00367713" w:rsidRDefault="003D6E7E" w:rsidP="00CB731D">
            <w:pPr>
              <w:spacing w:after="0"/>
              <w:jc w:val="left"/>
              <w:rPr>
                <w:szCs w:val="22"/>
              </w:rPr>
            </w:pPr>
          </w:p>
          <w:p w14:paraId="49ECF58A" w14:textId="77777777" w:rsidR="003D6E7E" w:rsidRPr="00367713" w:rsidRDefault="003D6E7E" w:rsidP="00CB731D">
            <w:pPr>
              <w:spacing w:after="0"/>
              <w:jc w:val="left"/>
              <w:rPr>
                <w:szCs w:val="22"/>
              </w:rPr>
            </w:pPr>
          </w:p>
        </w:tc>
      </w:tr>
      <w:tr w:rsidR="003D6E7E" w:rsidRPr="00CF323C" w14:paraId="595A5C68"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4F50BB5E"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0.3</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6730E1FC" w14:textId="77777777" w:rsidR="003D6E7E" w:rsidRPr="00367713" w:rsidRDefault="003D6E7E" w:rsidP="00CB731D">
            <w:pPr>
              <w:spacing w:after="0"/>
              <w:jc w:val="left"/>
              <w:rPr>
                <w:szCs w:val="22"/>
              </w:rPr>
            </w:pPr>
            <w:r w:rsidRPr="00367713">
              <w:rPr>
                <w:szCs w:val="22"/>
              </w:rPr>
              <w:t xml:space="preserve">Are there aspects of the current FMC regime we have not mentioned in our overview that are limiting our capital markets?  </w:t>
            </w:r>
          </w:p>
        </w:tc>
      </w:tr>
      <w:tr w:rsidR="003D6E7E" w:rsidRPr="00CF323C" w14:paraId="52D7D96B"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0383465E"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552FC299" w14:textId="77777777" w:rsidR="003D6E7E" w:rsidRPr="00367713" w:rsidRDefault="003D6E7E" w:rsidP="00CB731D">
            <w:pPr>
              <w:spacing w:after="0"/>
              <w:jc w:val="left"/>
              <w:rPr>
                <w:szCs w:val="22"/>
              </w:rPr>
            </w:pPr>
          </w:p>
          <w:p w14:paraId="5E2F2CD5" w14:textId="77777777" w:rsidR="003D6E7E" w:rsidRPr="00367713" w:rsidRDefault="003D6E7E" w:rsidP="00CB731D">
            <w:pPr>
              <w:spacing w:after="0"/>
              <w:jc w:val="left"/>
              <w:rPr>
                <w:szCs w:val="22"/>
              </w:rPr>
            </w:pPr>
          </w:p>
        </w:tc>
      </w:tr>
      <w:tr w:rsidR="003D6E7E" w:rsidRPr="00CF323C" w14:paraId="2833CD03"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7A97F624"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0.4</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32CAC6A7" w14:textId="77777777" w:rsidR="003D6E7E" w:rsidRPr="00367713" w:rsidRDefault="003D6E7E" w:rsidP="00CB731D">
            <w:pPr>
              <w:spacing w:after="0"/>
              <w:jc w:val="left"/>
              <w:rPr>
                <w:szCs w:val="22"/>
              </w:rPr>
            </w:pPr>
            <w:r w:rsidRPr="00367713">
              <w:rPr>
                <w:szCs w:val="22"/>
              </w:rPr>
              <w:t xml:space="preserve">Has our general overview of current trends in domestic and global capital markets left out anything particularly relevant for considering the strength of New Zealand’s capital markets? </w:t>
            </w:r>
          </w:p>
        </w:tc>
      </w:tr>
      <w:tr w:rsidR="003D6E7E" w:rsidRPr="00CF323C" w14:paraId="661560A0"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0DC8F331"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2900C22D" w14:textId="77777777" w:rsidR="003D6E7E" w:rsidRPr="00367713" w:rsidRDefault="003D6E7E" w:rsidP="00CB731D">
            <w:pPr>
              <w:spacing w:after="0"/>
              <w:jc w:val="left"/>
              <w:rPr>
                <w:szCs w:val="22"/>
              </w:rPr>
            </w:pPr>
          </w:p>
          <w:p w14:paraId="71265199" w14:textId="77777777" w:rsidR="003D6E7E" w:rsidRPr="00367713" w:rsidRDefault="003D6E7E" w:rsidP="00CB731D">
            <w:pPr>
              <w:spacing w:after="0"/>
              <w:jc w:val="left"/>
              <w:rPr>
                <w:szCs w:val="22"/>
              </w:rPr>
            </w:pPr>
          </w:p>
        </w:tc>
      </w:tr>
      <w:tr w:rsidR="003D6E7E" w:rsidRPr="00CF323C" w14:paraId="23B59016"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664CA57C"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0.5</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25756522" w14:textId="77777777" w:rsidR="003D6E7E" w:rsidRPr="00367713" w:rsidRDefault="003D6E7E" w:rsidP="00CB731D">
            <w:pPr>
              <w:spacing w:after="0"/>
              <w:jc w:val="left"/>
              <w:rPr>
                <w:szCs w:val="22"/>
              </w:rPr>
            </w:pPr>
            <w:r w:rsidRPr="00367713">
              <w:rPr>
                <w:szCs w:val="22"/>
              </w:rPr>
              <w:t>Taking into account current trends and developments in capital markets, do you think the FMC Act needs a more fundamental review? Where would you focus such a review? Do you think the purposes outlined above remain appropriate? If not, how would you change them?</w:t>
            </w:r>
          </w:p>
        </w:tc>
      </w:tr>
      <w:tr w:rsidR="003D6E7E" w:rsidRPr="00CF323C" w14:paraId="6133EE29"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32B6E33C"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55E58C04" w14:textId="77777777" w:rsidR="003D6E7E" w:rsidRPr="00367713" w:rsidRDefault="003D6E7E" w:rsidP="00CB731D">
            <w:pPr>
              <w:spacing w:after="0"/>
              <w:jc w:val="left"/>
              <w:rPr>
                <w:szCs w:val="22"/>
              </w:rPr>
            </w:pPr>
          </w:p>
          <w:p w14:paraId="2D383AC9" w14:textId="77777777" w:rsidR="003D6E7E" w:rsidRPr="00367713" w:rsidRDefault="003D6E7E" w:rsidP="00CB731D">
            <w:pPr>
              <w:spacing w:after="0"/>
              <w:jc w:val="left"/>
              <w:rPr>
                <w:szCs w:val="22"/>
              </w:rPr>
            </w:pPr>
          </w:p>
        </w:tc>
      </w:tr>
      <w:tr w:rsidR="003D6E7E" w:rsidRPr="00CF323C" w14:paraId="7496CFD9"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07656174"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0.6</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5758613A" w14:textId="77777777" w:rsidR="003D6E7E" w:rsidRPr="00367713" w:rsidRDefault="003D6E7E" w:rsidP="00CB731D">
            <w:pPr>
              <w:spacing w:after="0"/>
              <w:jc w:val="left"/>
              <w:rPr>
                <w:szCs w:val="22"/>
              </w:rPr>
            </w:pPr>
            <w:r w:rsidRPr="00367713">
              <w:rPr>
                <w:szCs w:val="22"/>
              </w:rPr>
              <w:t>If you could address 2-3 strategic priorities with substantial impact in the FMC regime, what would they be?</w:t>
            </w:r>
          </w:p>
        </w:tc>
      </w:tr>
      <w:tr w:rsidR="003D6E7E" w:rsidRPr="00CF323C" w14:paraId="7F105960"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38D5543D"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6B0D7A0E" w14:textId="77777777" w:rsidR="003D6E7E" w:rsidRPr="00367713" w:rsidRDefault="003D6E7E" w:rsidP="00CB731D">
            <w:pPr>
              <w:spacing w:after="0"/>
              <w:jc w:val="left"/>
              <w:rPr>
                <w:szCs w:val="22"/>
              </w:rPr>
            </w:pPr>
          </w:p>
        </w:tc>
      </w:tr>
      <w:tr w:rsidR="003D6E7E" w:rsidRPr="00CF323C" w14:paraId="77F160A4"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58B0B99B"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0.7</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ECD603B" w14:textId="77777777" w:rsidR="003D6E7E" w:rsidRPr="00367713" w:rsidRDefault="003D6E7E" w:rsidP="00CB731D">
            <w:pPr>
              <w:spacing w:after="0"/>
              <w:jc w:val="left"/>
              <w:rPr>
                <w:szCs w:val="22"/>
              </w:rPr>
            </w:pPr>
            <w:r w:rsidRPr="00367713">
              <w:rPr>
                <w:szCs w:val="22"/>
              </w:rPr>
              <w:t>How do you perceive the position of New Zealand’s capital markets in the global context? What strengths do our capital markets offer? What positioning do you think we should aspire to? What does ambition look like to you?</w:t>
            </w:r>
          </w:p>
        </w:tc>
      </w:tr>
      <w:tr w:rsidR="003D6E7E" w:rsidRPr="00CF323C" w14:paraId="30797A27"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77132374"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344404D0" w14:textId="77777777" w:rsidR="003D6E7E" w:rsidRPr="00367713" w:rsidRDefault="003D6E7E" w:rsidP="00CB731D">
            <w:pPr>
              <w:spacing w:after="0"/>
              <w:jc w:val="left"/>
              <w:rPr>
                <w:szCs w:val="22"/>
              </w:rPr>
            </w:pPr>
          </w:p>
        </w:tc>
      </w:tr>
      <w:tr w:rsidR="003D6E7E" w:rsidRPr="00CF323C" w14:paraId="0FA14E40"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0215700A"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0.8</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B77D7DF" w14:textId="77777777" w:rsidR="003D6E7E" w:rsidRPr="00367713" w:rsidRDefault="003D6E7E" w:rsidP="00CB731D">
            <w:pPr>
              <w:spacing w:after="0"/>
              <w:jc w:val="left"/>
              <w:rPr>
                <w:szCs w:val="22"/>
              </w:rPr>
            </w:pPr>
            <w:r w:rsidRPr="00367713">
              <w:rPr>
                <w:szCs w:val="22"/>
              </w:rPr>
              <w:t>What competitive strengths do you think New Zealand could build toward with regulatory change, and what change is needed?</w:t>
            </w:r>
          </w:p>
        </w:tc>
      </w:tr>
      <w:tr w:rsidR="003D6E7E" w:rsidRPr="00CF323C" w14:paraId="71FF5A2A"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344534A4"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307F86D1" w14:textId="77777777" w:rsidR="003D6E7E" w:rsidRPr="00367713" w:rsidRDefault="003D6E7E" w:rsidP="00CB731D">
            <w:pPr>
              <w:spacing w:after="0"/>
              <w:jc w:val="left"/>
              <w:rPr>
                <w:szCs w:val="22"/>
              </w:rPr>
            </w:pPr>
          </w:p>
          <w:p w14:paraId="5E0146A0" w14:textId="77777777" w:rsidR="003D6E7E" w:rsidRPr="00367713" w:rsidRDefault="003D6E7E" w:rsidP="00CB731D">
            <w:pPr>
              <w:spacing w:after="0"/>
              <w:jc w:val="left"/>
              <w:rPr>
                <w:szCs w:val="22"/>
              </w:rPr>
            </w:pPr>
          </w:p>
        </w:tc>
      </w:tr>
      <w:tr w:rsidR="003D6E7E" w:rsidRPr="00CF323C" w14:paraId="197F565B"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3A439541"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0.9</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4DC1A90E" w14:textId="77777777" w:rsidR="003D6E7E" w:rsidRPr="00367713" w:rsidRDefault="003D6E7E" w:rsidP="00CB731D">
            <w:pPr>
              <w:spacing w:after="0"/>
              <w:jc w:val="left"/>
              <w:rPr>
                <w:szCs w:val="22"/>
              </w:rPr>
            </w:pPr>
            <w:r w:rsidRPr="00367713">
              <w:rPr>
                <w:szCs w:val="22"/>
              </w:rPr>
              <w:t xml:space="preserve">This document and discussion are focussed primarily on regulatory change. Are there non-regulatory steps you think the Government could take to support capital markets? </w:t>
            </w:r>
          </w:p>
        </w:tc>
      </w:tr>
      <w:tr w:rsidR="003D6E7E" w:rsidRPr="00CF323C" w14:paraId="329B6F6B"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17938EDE"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71BB0811" w14:textId="77777777" w:rsidR="003D6E7E" w:rsidRPr="00367713" w:rsidRDefault="003D6E7E" w:rsidP="00CB731D">
            <w:pPr>
              <w:spacing w:after="0"/>
              <w:jc w:val="left"/>
              <w:rPr>
                <w:szCs w:val="22"/>
              </w:rPr>
            </w:pPr>
          </w:p>
          <w:p w14:paraId="12DC9060" w14:textId="77777777" w:rsidR="003D6E7E" w:rsidRPr="00367713" w:rsidRDefault="003D6E7E" w:rsidP="00CB731D">
            <w:pPr>
              <w:spacing w:after="0"/>
              <w:jc w:val="left"/>
              <w:rPr>
                <w:szCs w:val="22"/>
              </w:rPr>
            </w:pPr>
          </w:p>
        </w:tc>
      </w:tr>
      <w:tr w:rsidR="003D6E7E" w:rsidRPr="00CF323C" w14:paraId="216F86F9"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4520937C"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0.10</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0DC6DF41" w14:textId="77777777" w:rsidR="003D6E7E" w:rsidRPr="00367713" w:rsidRDefault="003D6E7E" w:rsidP="00CB731D">
            <w:pPr>
              <w:spacing w:after="0"/>
              <w:jc w:val="left"/>
              <w:rPr>
                <w:szCs w:val="22"/>
              </w:rPr>
            </w:pPr>
            <w:r w:rsidRPr="00367713">
              <w:rPr>
                <w:szCs w:val="22"/>
              </w:rPr>
              <w:t>What non-regulatory steps do you think the sector could lead to support capital markets?</w:t>
            </w:r>
          </w:p>
        </w:tc>
      </w:tr>
      <w:tr w:rsidR="003D6E7E" w:rsidRPr="00CF323C" w14:paraId="79E56E00"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5E6C73E4"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5F6D1E2E" w14:textId="77777777" w:rsidR="003D6E7E" w:rsidRPr="00367713" w:rsidRDefault="003D6E7E" w:rsidP="00CB731D">
            <w:pPr>
              <w:spacing w:after="0"/>
              <w:jc w:val="left"/>
              <w:rPr>
                <w:szCs w:val="22"/>
              </w:rPr>
            </w:pPr>
          </w:p>
          <w:p w14:paraId="01A6DFD4" w14:textId="77777777" w:rsidR="003D6E7E" w:rsidRPr="00367713" w:rsidRDefault="003D6E7E" w:rsidP="00CB731D">
            <w:pPr>
              <w:spacing w:after="0"/>
              <w:jc w:val="left"/>
              <w:rPr>
                <w:szCs w:val="22"/>
              </w:rPr>
            </w:pPr>
          </w:p>
        </w:tc>
      </w:tr>
      <w:tr w:rsidR="003D6E7E" w:rsidRPr="00CF323C" w14:paraId="12206B26" w14:textId="77777777" w:rsidTr="003958C5">
        <w:trPr>
          <w:trHeight w:val="300"/>
        </w:trPr>
        <w:tc>
          <w:tcPr>
            <w:tcW w:w="610" w:type="dxa"/>
            <w:gridSpan w:val="2"/>
            <w:vMerge w:val="restart"/>
            <w:tcBorders>
              <w:top w:val="single" w:sz="8" w:space="0" w:color="FFFFFF"/>
              <w:left w:val="nil"/>
              <w:right w:val="nil"/>
            </w:tcBorders>
            <w:shd w:val="clear" w:color="auto" w:fill="215E99" w:themeFill="text2" w:themeFillTint="BF"/>
            <w:vAlign w:val="center"/>
          </w:tcPr>
          <w:p w14:paraId="4E99C770" w14:textId="3D40FA91"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0.1</w:t>
            </w:r>
            <w:r w:rsidR="003958C5">
              <w:rPr>
                <w:rFonts w:eastAsia="Calibri" w:cs="Calibri"/>
                <w:b/>
                <w:bCs/>
                <w:color w:val="FFFFFF"/>
                <w:szCs w:val="22"/>
                <w:lang w:eastAsia="ko-KR"/>
              </w:rPr>
              <w:t>1</w:t>
            </w:r>
          </w:p>
        </w:tc>
        <w:tc>
          <w:tcPr>
            <w:tcW w:w="9596" w:type="dxa"/>
            <w:gridSpan w:val="2"/>
            <w:tcBorders>
              <w:top w:val="single" w:sz="4" w:space="0" w:color="auto"/>
              <w:left w:val="nil"/>
              <w:bottom w:val="single" w:sz="4" w:space="0" w:color="auto"/>
              <w:right w:val="single" w:sz="4" w:space="0" w:color="auto"/>
            </w:tcBorders>
            <w:shd w:val="clear" w:color="auto" w:fill="DAE9F7" w:themeFill="text2" w:themeFillTint="1A"/>
            <w:vAlign w:val="center"/>
          </w:tcPr>
          <w:p w14:paraId="7C84EA60" w14:textId="77777777" w:rsidR="003D6E7E" w:rsidRPr="00367713" w:rsidRDefault="003D6E7E" w:rsidP="00CB731D">
            <w:pPr>
              <w:spacing w:after="0"/>
              <w:jc w:val="left"/>
              <w:rPr>
                <w:szCs w:val="22"/>
              </w:rPr>
            </w:pPr>
            <w:r w:rsidRPr="00367713">
              <w:rPr>
                <w:szCs w:val="22"/>
              </w:rPr>
              <w:t>Please provide any other thoughts you would like to share with the Government on capital markets regulation.</w:t>
            </w:r>
          </w:p>
        </w:tc>
      </w:tr>
      <w:tr w:rsidR="003D6E7E" w:rsidRPr="00CF323C" w14:paraId="2D6B6E9D" w14:textId="77777777" w:rsidTr="00511869">
        <w:trPr>
          <w:trHeight w:val="300"/>
        </w:trPr>
        <w:tc>
          <w:tcPr>
            <w:tcW w:w="610" w:type="dxa"/>
            <w:gridSpan w:val="2"/>
            <w:vMerge/>
            <w:tcBorders>
              <w:left w:val="nil"/>
              <w:bottom w:val="single" w:sz="8" w:space="0" w:color="FFFFFF"/>
              <w:right w:val="nil"/>
            </w:tcBorders>
            <w:shd w:val="clear" w:color="auto" w:fill="215E99" w:themeFill="text2" w:themeFillTint="BF"/>
            <w:vAlign w:val="center"/>
          </w:tcPr>
          <w:p w14:paraId="610F5CB8"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04CECE40" w14:textId="77777777" w:rsidR="003D6E7E" w:rsidRPr="00367713" w:rsidRDefault="003D6E7E" w:rsidP="00CB731D">
            <w:pPr>
              <w:spacing w:after="0"/>
              <w:jc w:val="left"/>
              <w:rPr>
                <w:szCs w:val="22"/>
              </w:rPr>
            </w:pPr>
          </w:p>
          <w:p w14:paraId="2564F72E" w14:textId="77777777" w:rsidR="003D6E7E" w:rsidRPr="00367713" w:rsidRDefault="003D6E7E" w:rsidP="00CB731D">
            <w:pPr>
              <w:spacing w:after="0"/>
              <w:jc w:val="left"/>
              <w:rPr>
                <w:szCs w:val="22"/>
              </w:rPr>
            </w:pPr>
          </w:p>
        </w:tc>
      </w:tr>
      <w:tr w:rsidR="00B42B44" w:rsidRPr="000408A8" w14:paraId="2E172EB9"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0B769F" w:themeFill="accent4" w:themeFillShade="BF"/>
            <w:vAlign w:val="center"/>
          </w:tcPr>
          <w:p w14:paraId="00BB5777" w14:textId="79E01AC4" w:rsidR="00B42B44" w:rsidRPr="000408A8" w:rsidRDefault="00511869" w:rsidP="00CB731D">
            <w:pPr>
              <w:spacing w:after="0"/>
              <w:jc w:val="left"/>
              <w:rPr>
                <w:rFonts w:cs="Calibri"/>
                <w:b/>
                <w:bCs/>
                <w:sz w:val="20"/>
                <w:szCs w:val="20"/>
              </w:rPr>
            </w:pPr>
            <w:r>
              <w:rPr>
                <w:rFonts w:cs="Calibri"/>
                <w:b/>
                <w:bCs/>
                <w:color w:val="FFFFFF" w:themeColor="background1"/>
                <w:sz w:val="24"/>
              </w:rPr>
              <w:t xml:space="preserve">  1.     </w:t>
            </w:r>
            <w:r w:rsidR="00B42B44" w:rsidRPr="00A83A3B">
              <w:rPr>
                <w:rFonts w:cs="Calibri"/>
                <w:b/>
                <w:bCs/>
                <w:color w:val="FFFFFF" w:themeColor="background1"/>
                <w:sz w:val="24"/>
              </w:rPr>
              <w:t>Product Disclosure Statements</w:t>
            </w:r>
          </w:p>
        </w:tc>
      </w:tr>
      <w:tr w:rsidR="003D6E7E" w:rsidRPr="000408A8" w14:paraId="2140A00E"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4A68356A"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1.1</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1AD6106B" w14:textId="77777777" w:rsidR="003D6E7E" w:rsidRPr="00367713" w:rsidRDefault="003D6E7E" w:rsidP="00CB731D">
            <w:pPr>
              <w:spacing w:after="0"/>
              <w:jc w:val="left"/>
              <w:rPr>
                <w:rFonts w:cs="Calibri"/>
                <w:szCs w:val="22"/>
              </w:rPr>
            </w:pPr>
            <w:r w:rsidRPr="00367713">
              <w:rPr>
                <w:rFonts w:cs="Calibri"/>
                <w:szCs w:val="22"/>
              </w:rPr>
              <w:t>D</w:t>
            </w:r>
            <w:r w:rsidRPr="00367713">
              <w:rPr>
                <w:szCs w:val="22"/>
              </w:rPr>
              <w:t>o you think current PDS requirements are proportionate (aligning requirements with risks)? Do you think current requirements are meeting the purpose of the PDS?</w:t>
            </w:r>
          </w:p>
        </w:tc>
      </w:tr>
      <w:tr w:rsidR="003D6E7E" w:rsidRPr="000408A8" w14:paraId="44B09830"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362B1DDC"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24EC183E" w14:textId="77777777" w:rsidR="003D6E7E" w:rsidRPr="00367713" w:rsidRDefault="003D6E7E" w:rsidP="00CB731D">
            <w:pPr>
              <w:spacing w:after="0"/>
              <w:jc w:val="left"/>
              <w:rPr>
                <w:rFonts w:cs="Calibri"/>
                <w:szCs w:val="22"/>
              </w:rPr>
            </w:pPr>
          </w:p>
          <w:p w14:paraId="2F254ABA" w14:textId="77777777" w:rsidR="0038187C" w:rsidRPr="00367713" w:rsidRDefault="0038187C" w:rsidP="00CB731D">
            <w:pPr>
              <w:spacing w:after="0"/>
              <w:jc w:val="left"/>
              <w:rPr>
                <w:rFonts w:cs="Calibri"/>
                <w:szCs w:val="22"/>
              </w:rPr>
            </w:pPr>
          </w:p>
        </w:tc>
      </w:tr>
      <w:tr w:rsidR="003D6E7E" w:rsidRPr="000408A8" w14:paraId="26D6E6AB"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474901FE"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1.2</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56DE3CFF" w14:textId="77777777" w:rsidR="003D6E7E" w:rsidRPr="00367713" w:rsidRDefault="003D6E7E" w:rsidP="00CB731D">
            <w:pPr>
              <w:spacing w:after="0"/>
              <w:jc w:val="left"/>
              <w:rPr>
                <w:rFonts w:cs="Calibri"/>
                <w:szCs w:val="22"/>
              </w:rPr>
            </w:pPr>
            <w:r w:rsidRPr="00367713">
              <w:rPr>
                <w:rFonts w:cs="Calibri"/>
                <w:szCs w:val="22"/>
              </w:rPr>
              <w:t>Please share any evidence, research or insights you may have on investor (or intermediary) use of the PDS.</w:t>
            </w:r>
          </w:p>
        </w:tc>
      </w:tr>
      <w:tr w:rsidR="003D6E7E" w:rsidRPr="000408A8" w14:paraId="482DB43C"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1CC3D3EF"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6BB1EEB1" w14:textId="77777777" w:rsidR="003D6E7E" w:rsidRPr="00367713" w:rsidRDefault="003D6E7E" w:rsidP="00CB731D">
            <w:pPr>
              <w:spacing w:after="0"/>
              <w:jc w:val="left"/>
              <w:rPr>
                <w:rFonts w:cs="Calibri"/>
                <w:szCs w:val="22"/>
              </w:rPr>
            </w:pPr>
          </w:p>
          <w:p w14:paraId="1FA6418E" w14:textId="77777777" w:rsidR="0038187C" w:rsidRPr="00367713" w:rsidRDefault="0038187C" w:rsidP="00CB731D">
            <w:pPr>
              <w:spacing w:after="0"/>
              <w:jc w:val="left"/>
              <w:rPr>
                <w:rFonts w:cs="Calibri"/>
                <w:szCs w:val="22"/>
              </w:rPr>
            </w:pPr>
          </w:p>
        </w:tc>
      </w:tr>
      <w:tr w:rsidR="003D6E7E" w:rsidRPr="000408A8" w14:paraId="25B77590"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1D5BF468"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1.3</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6BBBFBCA" w14:textId="77777777" w:rsidR="003D6E7E" w:rsidRPr="00367713" w:rsidRDefault="003D6E7E" w:rsidP="00CB731D">
            <w:pPr>
              <w:spacing w:after="0"/>
              <w:jc w:val="left"/>
              <w:rPr>
                <w:rFonts w:cs="Calibri"/>
                <w:szCs w:val="22"/>
              </w:rPr>
            </w:pPr>
            <w:r w:rsidRPr="00367713">
              <w:rPr>
                <w:rFonts w:cs="Calibri"/>
                <w:szCs w:val="22"/>
              </w:rPr>
              <w:t xml:space="preserve">Do you agree with the problem definition in relation to the PDS? Which, to you, are the most pressing issues to be addressed? </w:t>
            </w:r>
          </w:p>
        </w:tc>
      </w:tr>
      <w:tr w:rsidR="003D6E7E" w:rsidRPr="000408A8" w14:paraId="6C4FC0A3"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4B238027"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5176AD4E" w14:textId="77777777" w:rsidR="003D6E7E" w:rsidRPr="00367713" w:rsidRDefault="003D6E7E" w:rsidP="00CB731D">
            <w:pPr>
              <w:spacing w:after="0"/>
              <w:jc w:val="left"/>
              <w:rPr>
                <w:rFonts w:cs="Calibri"/>
                <w:szCs w:val="22"/>
              </w:rPr>
            </w:pPr>
          </w:p>
          <w:p w14:paraId="2BF83681" w14:textId="77777777" w:rsidR="0038187C" w:rsidRPr="00367713" w:rsidRDefault="0038187C" w:rsidP="00CB731D">
            <w:pPr>
              <w:spacing w:after="0"/>
              <w:jc w:val="left"/>
              <w:rPr>
                <w:rFonts w:cs="Calibri"/>
                <w:szCs w:val="22"/>
              </w:rPr>
            </w:pPr>
          </w:p>
        </w:tc>
      </w:tr>
      <w:tr w:rsidR="003D6E7E" w:rsidRPr="000408A8" w14:paraId="3059C52B"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0A25CE7D"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1.4</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676F3539" w14:textId="77777777" w:rsidR="003D6E7E" w:rsidRPr="00367713" w:rsidRDefault="003D6E7E" w:rsidP="00CB731D">
            <w:pPr>
              <w:spacing w:after="0"/>
              <w:jc w:val="left"/>
              <w:rPr>
                <w:rFonts w:cs="Calibri"/>
                <w:szCs w:val="22"/>
              </w:rPr>
            </w:pPr>
            <w:r w:rsidRPr="00367713">
              <w:rPr>
                <w:rFonts w:cs="Calibri"/>
                <w:szCs w:val="22"/>
              </w:rPr>
              <w:t>Do you know of companies whi</w:t>
            </w:r>
            <w:r w:rsidRPr="00367713">
              <w:rPr>
                <w:szCs w:val="22"/>
              </w:rPr>
              <w:t>ch</w:t>
            </w:r>
            <w:r w:rsidRPr="00367713">
              <w:rPr>
                <w:rFonts w:cs="Calibri"/>
                <w:szCs w:val="22"/>
              </w:rPr>
              <w:t xml:space="preserve"> have considered listing financial products (including on NZX) that have chosen not to do so, where the PDS requirements were part of that decision? Or whi</w:t>
            </w:r>
            <w:r w:rsidRPr="00367713">
              <w:rPr>
                <w:szCs w:val="22"/>
              </w:rPr>
              <w:t>ch</w:t>
            </w:r>
            <w:r w:rsidRPr="00367713">
              <w:rPr>
                <w:rFonts w:cs="Calibri"/>
                <w:szCs w:val="22"/>
              </w:rPr>
              <w:t xml:space="preserve"> have made wholesale-only offers to avoid the costs and delays of PDS? </w:t>
            </w:r>
          </w:p>
        </w:tc>
      </w:tr>
      <w:tr w:rsidR="003D6E7E" w:rsidRPr="000408A8" w14:paraId="0EE4E3EA"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61094A57"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3FAB1826" w14:textId="77777777" w:rsidR="003D6E7E" w:rsidRPr="00367713" w:rsidRDefault="003D6E7E" w:rsidP="00CB731D">
            <w:pPr>
              <w:spacing w:after="0"/>
              <w:jc w:val="left"/>
              <w:rPr>
                <w:rFonts w:cs="Calibri"/>
                <w:szCs w:val="22"/>
              </w:rPr>
            </w:pPr>
          </w:p>
          <w:p w14:paraId="3C75D122" w14:textId="77777777" w:rsidR="0038187C" w:rsidRPr="00367713" w:rsidRDefault="0038187C" w:rsidP="00CB731D">
            <w:pPr>
              <w:spacing w:after="0"/>
              <w:jc w:val="left"/>
              <w:rPr>
                <w:rFonts w:cs="Calibri"/>
                <w:szCs w:val="22"/>
              </w:rPr>
            </w:pPr>
          </w:p>
        </w:tc>
      </w:tr>
      <w:tr w:rsidR="003D6E7E" w:rsidRPr="000408A8" w14:paraId="43730CFA"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7EEDC6F4"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1.5</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02F671A9" w14:textId="77777777" w:rsidR="003D6E7E" w:rsidRPr="00367713" w:rsidRDefault="003D6E7E" w:rsidP="00CB731D">
            <w:pPr>
              <w:spacing w:after="0"/>
              <w:jc w:val="left"/>
              <w:rPr>
                <w:rFonts w:cs="Calibri"/>
                <w:szCs w:val="22"/>
              </w:rPr>
            </w:pPr>
            <w:r w:rsidRPr="00367713">
              <w:rPr>
                <w:rFonts w:cs="Calibri"/>
                <w:szCs w:val="22"/>
              </w:rPr>
              <w:t>Do you think the current PDS requirements could be reduced without compromising retail investor confidence and protections?</w:t>
            </w:r>
          </w:p>
        </w:tc>
      </w:tr>
      <w:tr w:rsidR="003D6E7E" w:rsidRPr="000408A8" w14:paraId="309F087A"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002E9C56"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65785ACC" w14:textId="77777777" w:rsidR="003D6E7E" w:rsidRPr="00367713" w:rsidRDefault="003D6E7E" w:rsidP="00CB731D">
            <w:pPr>
              <w:spacing w:after="0"/>
              <w:jc w:val="left"/>
              <w:rPr>
                <w:rFonts w:cs="Calibri"/>
                <w:szCs w:val="22"/>
              </w:rPr>
            </w:pPr>
          </w:p>
          <w:p w14:paraId="17303CF4" w14:textId="77777777" w:rsidR="0038187C" w:rsidRPr="00367713" w:rsidRDefault="0038187C" w:rsidP="00CB731D">
            <w:pPr>
              <w:spacing w:after="0"/>
              <w:jc w:val="left"/>
              <w:rPr>
                <w:rFonts w:cs="Calibri"/>
                <w:szCs w:val="22"/>
              </w:rPr>
            </w:pPr>
          </w:p>
        </w:tc>
      </w:tr>
      <w:tr w:rsidR="003D6E7E" w:rsidRPr="000408A8" w14:paraId="61D3414F"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2FC5AF96"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1.6</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4DEDD306" w14:textId="77777777" w:rsidR="003D6E7E" w:rsidRPr="00367713" w:rsidRDefault="003D6E7E" w:rsidP="00CB731D">
            <w:pPr>
              <w:spacing w:after="0"/>
              <w:rPr>
                <w:rFonts w:cs="Calibri"/>
                <w:szCs w:val="22"/>
              </w:rPr>
            </w:pPr>
            <w:r w:rsidRPr="00367713">
              <w:rPr>
                <w:rFonts w:cs="Calibri"/>
                <w:szCs w:val="22"/>
              </w:rPr>
              <w:t>Which of the preliminary options do you support for further development, and why?</w:t>
            </w:r>
          </w:p>
          <w:p w14:paraId="37C57C99" w14:textId="77777777" w:rsidR="003D6E7E" w:rsidRPr="00367713" w:rsidRDefault="003D6E7E" w:rsidP="00CB731D">
            <w:pPr>
              <w:pStyle w:val="boxbullet"/>
              <w:ind w:left="316" w:hanging="316"/>
            </w:pPr>
            <w:r w:rsidRPr="00367713">
              <w:t xml:space="preserve">If you support B, which sub-option do you support? </w:t>
            </w:r>
          </w:p>
          <w:p w14:paraId="2E49D73E" w14:textId="77777777" w:rsidR="003D6E7E" w:rsidRPr="00367713" w:rsidRDefault="003D6E7E" w:rsidP="00CB731D">
            <w:pPr>
              <w:pStyle w:val="boxbullet"/>
              <w:ind w:left="316" w:hanging="316"/>
              <w:rPr>
                <w:rFonts w:cs="Calibri"/>
              </w:rPr>
            </w:pPr>
            <w:r w:rsidRPr="00367713">
              <w:t xml:space="preserve">If you support C, which sections would you remove or reduce and/or, which instruments do you think it should apply to </w:t>
            </w:r>
            <w:r w:rsidRPr="00367713">
              <w:rPr>
                <w:rFonts w:cs="Calibri"/>
              </w:rPr>
              <w:t>(such as the debt to overseas investors scenario or other specific types of offers)</w:t>
            </w:r>
            <w:r w:rsidRPr="00367713">
              <w:t>?</w:t>
            </w:r>
          </w:p>
        </w:tc>
      </w:tr>
      <w:tr w:rsidR="003D6E7E" w:rsidRPr="000408A8" w14:paraId="41E5A560"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07709003"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1839DFE9" w14:textId="77777777" w:rsidR="003D6E7E" w:rsidRPr="00367713" w:rsidRDefault="003D6E7E" w:rsidP="00CB731D">
            <w:pPr>
              <w:spacing w:after="0"/>
              <w:rPr>
                <w:rFonts w:cs="Calibri"/>
                <w:szCs w:val="22"/>
              </w:rPr>
            </w:pPr>
          </w:p>
          <w:p w14:paraId="045166E9" w14:textId="77777777" w:rsidR="0038187C" w:rsidRPr="00367713" w:rsidRDefault="0038187C" w:rsidP="00CB731D">
            <w:pPr>
              <w:spacing w:after="0"/>
              <w:rPr>
                <w:rFonts w:cs="Calibri"/>
                <w:szCs w:val="22"/>
              </w:rPr>
            </w:pPr>
          </w:p>
        </w:tc>
      </w:tr>
      <w:tr w:rsidR="003D6E7E" w:rsidRPr="000408A8" w14:paraId="343545B1"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007D6119"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1.7</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6502B70C" w14:textId="77777777" w:rsidR="003D6E7E" w:rsidRPr="00367713" w:rsidRDefault="003D6E7E" w:rsidP="00CB731D">
            <w:pPr>
              <w:spacing w:after="0"/>
              <w:jc w:val="left"/>
              <w:rPr>
                <w:rFonts w:cs="Calibri"/>
                <w:szCs w:val="22"/>
              </w:rPr>
            </w:pPr>
            <w:r w:rsidRPr="00367713">
              <w:rPr>
                <w:rFonts w:cs="Calibri"/>
                <w:szCs w:val="22"/>
              </w:rPr>
              <w:t>If the full PDS were reduced, which parts do you think are most important to retain?</w:t>
            </w:r>
          </w:p>
        </w:tc>
      </w:tr>
      <w:tr w:rsidR="003D6E7E" w:rsidRPr="000408A8" w14:paraId="71818C1F"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36DA9DF5"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2BBCE141" w14:textId="77777777" w:rsidR="003D6E7E" w:rsidRPr="00367713" w:rsidRDefault="003D6E7E" w:rsidP="00CB731D">
            <w:pPr>
              <w:spacing w:after="0"/>
              <w:jc w:val="left"/>
              <w:rPr>
                <w:rFonts w:cs="Calibri"/>
                <w:szCs w:val="22"/>
              </w:rPr>
            </w:pPr>
          </w:p>
          <w:p w14:paraId="7BEA95CB" w14:textId="77777777" w:rsidR="0038187C" w:rsidRPr="00367713" w:rsidRDefault="0038187C" w:rsidP="00CB731D">
            <w:pPr>
              <w:spacing w:after="0"/>
              <w:jc w:val="left"/>
              <w:rPr>
                <w:rFonts w:cs="Calibri"/>
                <w:szCs w:val="22"/>
              </w:rPr>
            </w:pPr>
          </w:p>
        </w:tc>
      </w:tr>
      <w:tr w:rsidR="003D6E7E" w:rsidRPr="000408A8" w14:paraId="4C7195B0"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7ABF5FAE"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1.8</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1AC681E3" w14:textId="77777777" w:rsidR="003D6E7E" w:rsidRPr="00367713" w:rsidRDefault="003D6E7E" w:rsidP="00CB731D">
            <w:pPr>
              <w:spacing w:after="0"/>
              <w:jc w:val="left"/>
              <w:rPr>
                <w:rFonts w:cs="Calibri"/>
                <w:szCs w:val="22"/>
              </w:rPr>
            </w:pPr>
            <w:r w:rsidRPr="00367713">
              <w:rPr>
                <w:rFonts w:cs="Calibri"/>
                <w:szCs w:val="22"/>
              </w:rPr>
              <w:t xml:space="preserve">Do you think the adaptation of the PDS requirements to a ‘digital-first’ format should be a government priority? Do you know of examples in other jurisdictions? </w:t>
            </w:r>
          </w:p>
        </w:tc>
      </w:tr>
      <w:tr w:rsidR="003D6E7E" w:rsidRPr="000408A8" w14:paraId="7CDF5633"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2FD741FD"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75773430" w14:textId="77777777" w:rsidR="003D6E7E" w:rsidRPr="00367713" w:rsidRDefault="003D6E7E" w:rsidP="00CB731D">
            <w:pPr>
              <w:spacing w:after="0"/>
              <w:jc w:val="left"/>
              <w:rPr>
                <w:rFonts w:cs="Calibri"/>
                <w:szCs w:val="22"/>
              </w:rPr>
            </w:pPr>
          </w:p>
          <w:p w14:paraId="700B4EEA" w14:textId="77777777" w:rsidR="0038187C" w:rsidRPr="00367713" w:rsidRDefault="0038187C" w:rsidP="00CB731D">
            <w:pPr>
              <w:spacing w:after="0"/>
              <w:jc w:val="left"/>
              <w:rPr>
                <w:rFonts w:cs="Calibri"/>
                <w:szCs w:val="22"/>
              </w:rPr>
            </w:pPr>
          </w:p>
        </w:tc>
      </w:tr>
      <w:tr w:rsidR="003D6E7E" w:rsidRPr="000408A8" w14:paraId="405F8E56"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3C8871EE"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1.9</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59878E00" w14:textId="77777777" w:rsidR="003D6E7E" w:rsidRPr="00367713" w:rsidRDefault="003D6E7E" w:rsidP="00CB731D">
            <w:pPr>
              <w:spacing w:after="0"/>
              <w:jc w:val="left"/>
              <w:rPr>
                <w:rFonts w:cs="Calibri"/>
                <w:szCs w:val="22"/>
              </w:rPr>
            </w:pPr>
            <w:r w:rsidRPr="00367713">
              <w:rPr>
                <w:rFonts w:cs="Calibri"/>
                <w:szCs w:val="22"/>
              </w:rPr>
              <w:t>In your experience, what requirements in the Act and Regulations are preventing the PDS from being more digital friendly? How much regulatory change would be needed?</w:t>
            </w:r>
          </w:p>
        </w:tc>
      </w:tr>
      <w:tr w:rsidR="003D6E7E" w:rsidRPr="000408A8" w14:paraId="354D2683"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7C06317F"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78A0479D" w14:textId="77777777" w:rsidR="003D6E7E" w:rsidRPr="00367713" w:rsidRDefault="003D6E7E" w:rsidP="00CB731D">
            <w:pPr>
              <w:spacing w:after="0"/>
              <w:jc w:val="left"/>
              <w:rPr>
                <w:rFonts w:cs="Calibri"/>
                <w:szCs w:val="22"/>
              </w:rPr>
            </w:pPr>
          </w:p>
          <w:p w14:paraId="14A5BCEA" w14:textId="77777777" w:rsidR="0038187C" w:rsidRPr="00367713" w:rsidRDefault="0038187C" w:rsidP="00CB731D">
            <w:pPr>
              <w:spacing w:after="0"/>
              <w:jc w:val="left"/>
              <w:rPr>
                <w:rFonts w:cs="Calibri"/>
                <w:szCs w:val="22"/>
              </w:rPr>
            </w:pPr>
          </w:p>
        </w:tc>
      </w:tr>
      <w:tr w:rsidR="003D6E7E" w:rsidRPr="000408A8" w14:paraId="27F2E554"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2CE44825" w14:textId="77777777" w:rsidR="003D6E7E" w:rsidRPr="00367713" w:rsidRDefault="003D6E7E" w:rsidP="00CB731D">
            <w:pPr>
              <w:spacing w:after="0"/>
              <w:jc w:val="center"/>
              <w:rPr>
                <w:rFonts w:eastAsia="Calibri" w:cs="Calibri"/>
                <w:b/>
                <w:bCs/>
                <w:color w:val="FFFFFF"/>
                <w:szCs w:val="22"/>
                <w:lang w:eastAsia="ko-KR"/>
              </w:rPr>
            </w:pPr>
            <w:r w:rsidRPr="00367713">
              <w:rPr>
                <w:rFonts w:eastAsia="Calibri" w:cs="Calibri"/>
                <w:b/>
                <w:bCs/>
                <w:color w:val="FFFFFF"/>
                <w:szCs w:val="22"/>
                <w:lang w:eastAsia="ko-KR"/>
              </w:rPr>
              <w:t>1.10</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4CB0712F" w14:textId="7BEC35F7" w:rsidR="003D6E7E" w:rsidRPr="00367713" w:rsidRDefault="003D6E7E" w:rsidP="00CB731D">
            <w:pPr>
              <w:spacing w:after="0"/>
              <w:jc w:val="left"/>
              <w:rPr>
                <w:rFonts w:cs="Calibri"/>
                <w:szCs w:val="22"/>
              </w:rPr>
            </w:pPr>
            <w:r w:rsidRPr="00367713">
              <w:rPr>
                <w:rFonts w:cs="Calibri"/>
                <w:szCs w:val="22"/>
              </w:rPr>
              <w:t xml:space="preserve">If you have experience making financial offers digital friendly, how have you done this (app, website, portal, etc.) and how have </w:t>
            </w:r>
            <w:r w:rsidR="00931B8F">
              <w:rPr>
                <w:rFonts w:cs="Calibri"/>
                <w:szCs w:val="22"/>
              </w:rPr>
              <w:t xml:space="preserve">you </w:t>
            </w:r>
            <w:r w:rsidRPr="00367713">
              <w:rPr>
                <w:rFonts w:cs="Calibri"/>
                <w:szCs w:val="22"/>
              </w:rPr>
              <w:t xml:space="preserve">managed this while still meeting </w:t>
            </w:r>
            <w:r w:rsidR="00931B8F" w:rsidRPr="00367713">
              <w:rPr>
                <w:rFonts w:cs="Calibri"/>
                <w:szCs w:val="22"/>
              </w:rPr>
              <w:t xml:space="preserve">PDS </w:t>
            </w:r>
            <w:r w:rsidRPr="00367713">
              <w:rPr>
                <w:rFonts w:cs="Calibri"/>
                <w:szCs w:val="22"/>
              </w:rPr>
              <w:t>requirements?</w:t>
            </w:r>
          </w:p>
        </w:tc>
      </w:tr>
      <w:tr w:rsidR="003D6E7E" w:rsidRPr="000408A8" w14:paraId="11D1680F" w14:textId="77777777" w:rsidTr="00511869">
        <w:trPr>
          <w:trHeight w:val="300"/>
        </w:trPr>
        <w:tc>
          <w:tcPr>
            <w:tcW w:w="610" w:type="dxa"/>
            <w:gridSpan w:val="2"/>
            <w:vMerge/>
            <w:tcBorders>
              <w:left w:val="nil"/>
              <w:bottom w:val="single" w:sz="8" w:space="0" w:color="FFFFFF"/>
              <w:right w:val="nil"/>
            </w:tcBorders>
            <w:shd w:val="clear" w:color="auto" w:fill="0B769F" w:themeFill="accent4" w:themeFillShade="BF"/>
            <w:vAlign w:val="center"/>
          </w:tcPr>
          <w:p w14:paraId="456789B6" w14:textId="77777777" w:rsidR="003D6E7E" w:rsidRPr="00367713" w:rsidRDefault="003D6E7E" w:rsidP="00CB731D">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6811EF9C" w14:textId="77777777" w:rsidR="003D6E7E" w:rsidRPr="00367713" w:rsidRDefault="003D6E7E" w:rsidP="00CB731D">
            <w:pPr>
              <w:spacing w:after="0"/>
              <w:jc w:val="left"/>
              <w:rPr>
                <w:rFonts w:cs="Calibri"/>
                <w:szCs w:val="22"/>
              </w:rPr>
            </w:pPr>
          </w:p>
          <w:p w14:paraId="301ADE5D" w14:textId="77777777" w:rsidR="0038187C" w:rsidRPr="00367713" w:rsidRDefault="0038187C" w:rsidP="00CB731D">
            <w:pPr>
              <w:spacing w:after="0"/>
              <w:jc w:val="left"/>
              <w:rPr>
                <w:rFonts w:cs="Calibri"/>
                <w:szCs w:val="22"/>
              </w:rPr>
            </w:pPr>
          </w:p>
        </w:tc>
      </w:tr>
      <w:tr w:rsidR="003958C5" w:rsidRPr="000408A8" w14:paraId="057C9DBD"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4FC43254" w14:textId="23D42381" w:rsidR="003958C5" w:rsidRPr="00367713" w:rsidRDefault="003958C5" w:rsidP="003958C5">
            <w:pPr>
              <w:spacing w:after="0"/>
              <w:jc w:val="center"/>
              <w:rPr>
                <w:rFonts w:eastAsia="Calibri" w:cs="Calibri"/>
                <w:b/>
                <w:bCs/>
                <w:color w:val="FFFFFF"/>
                <w:szCs w:val="22"/>
                <w:lang w:eastAsia="ko-KR"/>
              </w:rPr>
            </w:pPr>
            <w:r>
              <w:rPr>
                <w:rFonts w:eastAsia="Calibri" w:cs="Calibri"/>
                <w:b/>
                <w:bCs/>
                <w:color w:val="FFFFFF"/>
                <w:szCs w:val="22"/>
                <w:lang w:eastAsia="ko-KR"/>
              </w:rPr>
              <w:t>1.11</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34CBB21C" w14:textId="4923C767" w:rsidR="003958C5" w:rsidRPr="003958C5" w:rsidRDefault="003958C5" w:rsidP="003958C5">
            <w:pPr>
              <w:spacing w:after="0"/>
              <w:jc w:val="left"/>
              <w:rPr>
                <w:rFonts w:cs="Calibri"/>
                <w:szCs w:val="22"/>
              </w:rPr>
            </w:pPr>
            <w:r w:rsidRPr="003958C5">
              <w:rPr>
                <w:rFonts w:cs="Calibri"/>
                <w:szCs w:val="22"/>
              </w:rPr>
              <w:t>Are there overseas models of PDS that you think the Government should consider?</w:t>
            </w:r>
          </w:p>
        </w:tc>
      </w:tr>
      <w:tr w:rsidR="003958C5" w:rsidRPr="000408A8" w14:paraId="0E9112D4" w14:textId="77777777" w:rsidTr="003958C5">
        <w:trPr>
          <w:trHeight w:val="300"/>
        </w:trPr>
        <w:tc>
          <w:tcPr>
            <w:tcW w:w="610" w:type="dxa"/>
            <w:gridSpan w:val="2"/>
            <w:vMerge/>
            <w:tcBorders>
              <w:left w:val="nil"/>
              <w:right w:val="nil"/>
            </w:tcBorders>
            <w:shd w:val="clear" w:color="auto" w:fill="0B769F" w:themeFill="accent4" w:themeFillShade="BF"/>
            <w:vAlign w:val="center"/>
          </w:tcPr>
          <w:p w14:paraId="19E8A04F" w14:textId="77777777" w:rsidR="003958C5" w:rsidRPr="00367713" w:rsidRDefault="003958C5" w:rsidP="003958C5">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0C5AB2FC" w14:textId="77777777" w:rsidR="003958C5" w:rsidRPr="00367713" w:rsidRDefault="003958C5" w:rsidP="003958C5">
            <w:pPr>
              <w:spacing w:after="0"/>
              <w:jc w:val="left"/>
              <w:rPr>
                <w:rFonts w:cs="Calibri"/>
                <w:szCs w:val="22"/>
              </w:rPr>
            </w:pPr>
          </w:p>
        </w:tc>
      </w:tr>
      <w:tr w:rsidR="003958C5" w:rsidRPr="000408A8" w14:paraId="1CB4231C" w14:textId="77777777" w:rsidTr="00511869">
        <w:trPr>
          <w:trHeight w:val="300"/>
        </w:trPr>
        <w:tc>
          <w:tcPr>
            <w:tcW w:w="610" w:type="dxa"/>
            <w:gridSpan w:val="2"/>
            <w:vMerge w:val="restart"/>
            <w:tcBorders>
              <w:top w:val="single" w:sz="8" w:space="0" w:color="FFFFFF"/>
              <w:left w:val="nil"/>
              <w:right w:val="nil"/>
            </w:tcBorders>
            <w:shd w:val="clear" w:color="auto" w:fill="0B769F" w:themeFill="accent4" w:themeFillShade="BF"/>
            <w:vAlign w:val="center"/>
          </w:tcPr>
          <w:p w14:paraId="2C548568" w14:textId="18C27FB0" w:rsidR="003958C5" w:rsidRPr="00367713" w:rsidRDefault="003958C5"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1.1</w:t>
            </w:r>
            <w:r>
              <w:rPr>
                <w:rFonts w:eastAsia="Calibri" w:cs="Calibri"/>
                <w:b/>
                <w:bCs/>
                <w:color w:val="FFFFFF"/>
                <w:szCs w:val="22"/>
                <w:lang w:eastAsia="ko-KR"/>
              </w:rPr>
              <w:t>2</w:t>
            </w:r>
          </w:p>
        </w:tc>
        <w:tc>
          <w:tcPr>
            <w:tcW w:w="9596" w:type="dxa"/>
            <w:gridSpan w:val="2"/>
            <w:tcBorders>
              <w:top w:val="single" w:sz="4" w:space="0" w:color="auto"/>
              <w:left w:val="nil"/>
              <w:bottom w:val="single" w:sz="4" w:space="0" w:color="auto"/>
              <w:right w:val="single" w:sz="4" w:space="0" w:color="auto"/>
            </w:tcBorders>
            <w:shd w:val="clear" w:color="auto" w:fill="E7F7FD"/>
            <w:vAlign w:val="center"/>
          </w:tcPr>
          <w:p w14:paraId="418EC1F8" w14:textId="77777777" w:rsidR="003958C5" w:rsidRPr="00367713" w:rsidRDefault="003958C5" w:rsidP="003958C5">
            <w:pPr>
              <w:spacing w:after="0"/>
              <w:jc w:val="left"/>
              <w:rPr>
                <w:rFonts w:cs="Calibri"/>
                <w:szCs w:val="22"/>
              </w:rPr>
            </w:pPr>
            <w:r w:rsidRPr="00367713">
              <w:rPr>
                <w:rFonts w:cs="Calibri"/>
                <w:szCs w:val="22"/>
              </w:rPr>
              <w:t>Please share any other comments, evidence or data you have on PDS requirements.</w:t>
            </w:r>
          </w:p>
        </w:tc>
      </w:tr>
      <w:tr w:rsidR="003958C5" w:rsidRPr="000408A8" w14:paraId="18A16696" w14:textId="77777777" w:rsidTr="00511869">
        <w:trPr>
          <w:trHeight w:val="300"/>
        </w:trPr>
        <w:tc>
          <w:tcPr>
            <w:tcW w:w="610" w:type="dxa"/>
            <w:gridSpan w:val="2"/>
            <w:vMerge/>
            <w:tcBorders>
              <w:left w:val="nil"/>
              <w:bottom w:val="single" w:sz="4" w:space="0" w:color="000000" w:themeColor="text1"/>
              <w:right w:val="nil"/>
            </w:tcBorders>
            <w:shd w:val="clear" w:color="auto" w:fill="0B769F" w:themeFill="accent4" w:themeFillShade="BF"/>
            <w:vAlign w:val="center"/>
          </w:tcPr>
          <w:p w14:paraId="023DC540" w14:textId="77777777" w:rsidR="003958C5" w:rsidRPr="00367713" w:rsidRDefault="003958C5" w:rsidP="003958C5">
            <w:pPr>
              <w:spacing w:after="0"/>
              <w:jc w:val="center"/>
              <w:rPr>
                <w:rFonts w:eastAsia="Calibri" w:cs="Calibri"/>
                <w:b/>
                <w:bCs/>
                <w:color w:val="FFFFFF"/>
                <w:szCs w:val="22"/>
                <w:lang w:eastAsia="ko-KR"/>
              </w:rPr>
            </w:pPr>
          </w:p>
        </w:tc>
        <w:tc>
          <w:tcPr>
            <w:tcW w:w="9596" w:type="dxa"/>
            <w:gridSpan w:val="2"/>
            <w:tcBorders>
              <w:top w:val="single" w:sz="4" w:space="0" w:color="auto"/>
              <w:left w:val="nil"/>
              <w:bottom w:val="single" w:sz="4" w:space="0" w:color="auto"/>
              <w:right w:val="single" w:sz="4" w:space="0" w:color="auto"/>
            </w:tcBorders>
            <w:vAlign w:val="center"/>
          </w:tcPr>
          <w:p w14:paraId="2013623C" w14:textId="77777777" w:rsidR="003958C5" w:rsidRPr="00367713" w:rsidRDefault="003958C5" w:rsidP="003958C5">
            <w:pPr>
              <w:spacing w:after="0"/>
              <w:jc w:val="left"/>
              <w:rPr>
                <w:rFonts w:cs="Calibri"/>
                <w:szCs w:val="22"/>
              </w:rPr>
            </w:pPr>
          </w:p>
          <w:p w14:paraId="16C4D80F" w14:textId="77777777" w:rsidR="003958C5" w:rsidRPr="00367713" w:rsidRDefault="003958C5" w:rsidP="003958C5">
            <w:pPr>
              <w:spacing w:after="0"/>
              <w:jc w:val="left"/>
              <w:rPr>
                <w:rFonts w:cs="Calibri"/>
                <w:szCs w:val="22"/>
              </w:rPr>
            </w:pPr>
          </w:p>
        </w:tc>
      </w:tr>
      <w:tr w:rsidR="003958C5" w:rsidRPr="000408A8" w14:paraId="16DDDA5C"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215E99" w:themeFill="text2" w:themeFillTint="BF"/>
            <w:vAlign w:val="center"/>
          </w:tcPr>
          <w:p w14:paraId="45B39EBF" w14:textId="4C25EB16" w:rsidR="003958C5" w:rsidRPr="000408A8" w:rsidRDefault="003958C5" w:rsidP="003958C5">
            <w:pPr>
              <w:spacing w:after="0"/>
              <w:jc w:val="left"/>
              <w:rPr>
                <w:rFonts w:cs="Calibri"/>
                <w:b/>
                <w:bCs/>
                <w:sz w:val="20"/>
                <w:szCs w:val="20"/>
              </w:rPr>
            </w:pPr>
            <w:r>
              <w:rPr>
                <w:rFonts w:cs="Calibri"/>
                <w:b/>
                <w:bCs/>
                <w:color w:val="FFFFFF" w:themeColor="background1"/>
                <w:sz w:val="24"/>
              </w:rPr>
              <w:t xml:space="preserve">  2.      </w:t>
            </w:r>
            <w:r w:rsidRPr="00A83A3B">
              <w:rPr>
                <w:rFonts w:cs="Calibri"/>
                <w:b/>
                <w:bCs/>
                <w:color w:val="FFFFFF" w:themeColor="background1"/>
                <w:sz w:val="24"/>
              </w:rPr>
              <w:t>Civil liabilities for directors and issuers</w:t>
            </w:r>
          </w:p>
        </w:tc>
      </w:tr>
      <w:tr w:rsidR="005868B1" w:rsidRPr="000408A8" w14:paraId="7D558A8D" w14:textId="77777777" w:rsidTr="00E1148B">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580EAE26"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2.1</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63BC085"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agree with the problem definition around current settings for director liabilities? Please provide evidence or examples.</w:t>
            </w:r>
          </w:p>
        </w:tc>
      </w:tr>
      <w:tr w:rsidR="005868B1" w:rsidRPr="000408A8" w14:paraId="3A6C28AA" w14:textId="77777777" w:rsidTr="00E1148B">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638433E3"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61C76B4C" w14:textId="77777777" w:rsidR="005868B1" w:rsidRPr="00367713" w:rsidRDefault="005868B1" w:rsidP="003958C5">
            <w:pPr>
              <w:spacing w:after="0"/>
              <w:jc w:val="left"/>
              <w:rPr>
                <w:rFonts w:eastAsia="MS Mincho" w:cs="Calibri"/>
                <w:szCs w:val="22"/>
                <w:lang w:eastAsia="ko-KR"/>
              </w:rPr>
            </w:pPr>
          </w:p>
        </w:tc>
      </w:tr>
      <w:tr w:rsidR="005868B1" w:rsidRPr="000408A8" w14:paraId="1DBFEA9D" w14:textId="77777777" w:rsidTr="00361133">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55B13410"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2.2</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A2738EF" w14:textId="77777777" w:rsidR="005868B1" w:rsidRPr="00367713" w:rsidRDefault="005868B1" w:rsidP="003958C5">
            <w:pPr>
              <w:spacing w:after="0"/>
              <w:jc w:val="left"/>
              <w:rPr>
                <w:rFonts w:cs="Calibri"/>
                <w:szCs w:val="22"/>
              </w:rPr>
            </w:pPr>
            <w:r w:rsidRPr="00367713">
              <w:rPr>
                <w:rFonts w:eastAsia="MS Mincho" w:cs="Calibri"/>
                <w:szCs w:val="22"/>
                <w:lang w:eastAsia="ko-KR"/>
              </w:rPr>
              <w:t>How significant are civil liability settings compared with other factors affecting public market participation, such as market depth, liquidity, access to private capital, listing costs, ongoing compliance costs, and broader economic conditions?</w:t>
            </w:r>
          </w:p>
        </w:tc>
      </w:tr>
      <w:tr w:rsidR="005868B1" w:rsidRPr="000408A8" w14:paraId="7A9D5937" w14:textId="77777777" w:rsidTr="00361133">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60E3B2E5"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1A52EEBC" w14:textId="77777777" w:rsidR="005868B1" w:rsidRPr="00367713" w:rsidRDefault="005868B1" w:rsidP="003958C5">
            <w:pPr>
              <w:spacing w:after="0"/>
              <w:jc w:val="left"/>
              <w:rPr>
                <w:rFonts w:eastAsia="MS Mincho" w:cs="Calibri"/>
                <w:szCs w:val="22"/>
                <w:lang w:eastAsia="ko-KR"/>
              </w:rPr>
            </w:pPr>
          </w:p>
        </w:tc>
      </w:tr>
      <w:tr w:rsidR="005868B1" w:rsidRPr="000408A8" w14:paraId="746F87D4" w14:textId="77777777" w:rsidTr="004E3E72">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66984EF1"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2.3</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7C195F72" w14:textId="77777777" w:rsidR="005868B1" w:rsidRPr="00367713" w:rsidRDefault="005868B1" w:rsidP="003958C5">
            <w:pPr>
              <w:spacing w:after="0"/>
              <w:jc w:val="left"/>
              <w:rPr>
                <w:rFonts w:cs="Calibri"/>
                <w:szCs w:val="22"/>
              </w:rPr>
            </w:pPr>
            <w:r w:rsidRPr="00367713">
              <w:rPr>
                <w:rFonts w:eastAsia="MS Mincho" w:cs="Calibri"/>
                <w:szCs w:val="22"/>
                <w:lang w:eastAsia="ko-KR"/>
              </w:rPr>
              <w:t>Which option do you support (A or B) for potential change to liability in relation to continuous disclosure contravention for directors and other persons? Please indicate a preferred sub-option as well if relevant. Please give your main reasons.</w:t>
            </w:r>
          </w:p>
        </w:tc>
      </w:tr>
      <w:tr w:rsidR="005868B1" w:rsidRPr="000408A8" w14:paraId="02B07718" w14:textId="77777777" w:rsidTr="004E3E72">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382B01CC"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64F0BDDB" w14:textId="77777777" w:rsidR="005868B1" w:rsidRPr="00367713" w:rsidRDefault="005868B1" w:rsidP="003958C5">
            <w:pPr>
              <w:spacing w:after="0"/>
              <w:jc w:val="left"/>
              <w:rPr>
                <w:rFonts w:eastAsia="MS Mincho" w:cs="Calibri"/>
                <w:szCs w:val="22"/>
                <w:lang w:eastAsia="ko-KR"/>
              </w:rPr>
            </w:pPr>
          </w:p>
        </w:tc>
      </w:tr>
      <w:tr w:rsidR="005868B1" w:rsidRPr="000408A8" w14:paraId="0953C31B" w14:textId="77777777" w:rsidTr="009E3B3E">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75BAD41C"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2.4</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B683F5E"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have a preference not reflected in the options in relation to continuous disclosure contravention for directors and other persons?</w:t>
            </w:r>
          </w:p>
        </w:tc>
      </w:tr>
      <w:tr w:rsidR="005868B1" w:rsidRPr="000408A8" w14:paraId="4B4CFDA0" w14:textId="77777777" w:rsidTr="009E3B3E">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74A5B679"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14563C1E" w14:textId="77777777" w:rsidR="005868B1" w:rsidRPr="00367713" w:rsidRDefault="005868B1" w:rsidP="003958C5">
            <w:pPr>
              <w:spacing w:after="0"/>
              <w:jc w:val="left"/>
              <w:rPr>
                <w:rFonts w:eastAsia="MS Mincho" w:cs="Calibri"/>
                <w:szCs w:val="22"/>
                <w:lang w:eastAsia="ko-KR"/>
              </w:rPr>
            </w:pPr>
          </w:p>
        </w:tc>
      </w:tr>
      <w:tr w:rsidR="005868B1" w:rsidRPr="000408A8" w14:paraId="08FA97A2" w14:textId="77777777" w:rsidTr="00AC1BE9">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6D70A0FF"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2.5</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4DD4DB3" w14:textId="77777777" w:rsidR="005868B1" w:rsidRPr="00367713" w:rsidRDefault="005868B1" w:rsidP="003958C5">
            <w:pPr>
              <w:spacing w:after="0"/>
              <w:jc w:val="left"/>
              <w:rPr>
                <w:rFonts w:cs="Calibri"/>
                <w:szCs w:val="22"/>
              </w:rPr>
            </w:pPr>
            <w:r w:rsidRPr="00367713">
              <w:rPr>
                <w:rFonts w:eastAsia="MS Mincho" w:cs="Calibri"/>
                <w:szCs w:val="22"/>
                <w:lang w:eastAsia="ko-KR"/>
              </w:rPr>
              <w:t>Are there any other issues or impacts the Government should consider in relation to liability for continuous disclosure contraventions for directors and other persons?</w:t>
            </w:r>
          </w:p>
        </w:tc>
      </w:tr>
      <w:tr w:rsidR="005868B1" w:rsidRPr="000408A8" w14:paraId="0FB356E5" w14:textId="77777777" w:rsidTr="00AC1BE9">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7D8E1172"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4E403162" w14:textId="77777777" w:rsidR="005868B1" w:rsidRPr="00367713" w:rsidRDefault="005868B1" w:rsidP="003958C5">
            <w:pPr>
              <w:spacing w:after="0"/>
              <w:jc w:val="left"/>
              <w:rPr>
                <w:rFonts w:eastAsia="MS Mincho" w:cs="Calibri"/>
                <w:szCs w:val="22"/>
                <w:lang w:eastAsia="ko-KR"/>
              </w:rPr>
            </w:pPr>
          </w:p>
        </w:tc>
      </w:tr>
      <w:tr w:rsidR="005868B1" w:rsidRPr="000408A8" w14:paraId="7FFE6268" w14:textId="77777777" w:rsidTr="00993E24">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1097DFE5"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2.6</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2D7516F4" w14:textId="77777777" w:rsidR="005868B1" w:rsidRPr="00367713" w:rsidRDefault="005868B1" w:rsidP="003958C5">
            <w:pPr>
              <w:spacing w:after="0"/>
              <w:jc w:val="left"/>
              <w:rPr>
                <w:rFonts w:cs="Calibri"/>
                <w:szCs w:val="22"/>
              </w:rPr>
            </w:pPr>
            <w:r w:rsidRPr="00367713">
              <w:rPr>
                <w:rFonts w:eastAsia="MS Mincho" w:cs="Calibri"/>
                <w:szCs w:val="22"/>
                <w:lang w:eastAsia="ko-KR"/>
              </w:rPr>
              <w:t>Which option do you support (C or D) for potential change to liability in relation to continuous disclosure contravention for issuers? Please indicate a preferred sub-option as well if relevant. Please give your main reasons.</w:t>
            </w:r>
          </w:p>
        </w:tc>
      </w:tr>
      <w:tr w:rsidR="005868B1" w:rsidRPr="000408A8" w14:paraId="2C57F2F3" w14:textId="77777777" w:rsidTr="00993E24">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5F231519"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5FED4409" w14:textId="77777777" w:rsidR="005868B1" w:rsidRPr="00367713" w:rsidRDefault="005868B1" w:rsidP="003958C5">
            <w:pPr>
              <w:spacing w:after="0"/>
              <w:jc w:val="left"/>
              <w:rPr>
                <w:rFonts w:eastAsia="MS Mincho" w:cs="Calibri"/>
                <w:szCs w:val="22"/>
                <w:lang w:eastAsia="ko-KR"/>
              </w:rPr>
            </w:pPr>
          </w:p>
        </w:tc>
      </w:tr>
      <w:tr w:rsidR="005868B1" w:rsidRPr="000408A8" w14:paraId="6E03DD72" w14:textId="77777777" w:rsidTr="001F6952">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5D1232D4"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2.7</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E34E362"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have a preference not reflected in the options in relation to continuous disclosure contravention for issuers?</w:t>
            </w:r>
          </w:p>
        </w:tc>
      </w:tr>
      <w:tr w:rsidR="005868B1" w:rsidRPr="000408A8" w14:paraId="589AC525" w14:textId="77777777" w:rsidTr="001F6952">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35A01F2F"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5AD92CDB" w14:textId="77777777" w:rsidR="005868B1" w:rsidRPr="00367713" w:rsidRDefault="005868B1" w:rsidP="003958C5">
            <w:pPr>
              <w:spacing w:after="0"/>
              <w:jc w:val="left"/>
              <w:rPr>
                <w:rFonts w:eastAsia="MS Mincho" w:cs="Calibri"/>
                <w:szCs w:val="22"/>
                <w:lang w:eastAsia="ko-KR"/>
              </w:rPr>
            </w:pPr>
          </w:p>
        </w:tc>
      </w:tr>
      <w:tr w:rsidR="005868B1" w:rsidRPr="000408A8" w14:paraId="418916FC" w14:textId="77777777" w:rsidTr="005C6265">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25535D1F"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2.8</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A2827BC" w14:textId="77777777" w:rsidR="005868B1" w:rsidRPr="00367713" w:rsidRDefault="005868B1" w:rsidP="003958C5">
            <w:pPr>
              <w:spacing w:after="0"/>
              <w:jc w:val="left"/>
              <w:rPr>
                <w:rFonts w:cs="Calibri"/>
                <w:szCs w:val="22"/>
              </w:rPr>
            </w:pPr>
            <w:r w:rsidRPr="00367713">
              <w:rPr>
                <w:rFonts w:eastAsia="MS Mincho" w:cs="Calibri"/>
                <w:szCs w:val="22"/>
                <w:lang w:eastAsia="ko-KR"/>
              </w:rPr>
              <w:t>Are there any other issues or impacts the Government should consider in relation to liability for continuous disclosure contraventions for issuers?</w:t>
            </w:r>
          </w:p>
        </w:tc>
      </w:tr>
      <w:tr w:rsidR="005868B1" w:rsidRPr="000408A8" w14:paraId="6B647829" w14:textId="77777777" w:rsidTr="005C6265">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42649117"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271F008A" w14:textId="77777777" w:rsidR="005868B1" w:rsidRPr="00367713" w:rsidRDefault="005868B1" w:rsidP="003958C5">
            <w:pPr>
              <w:spacing w:after="0"/>
              <w:jc w:val="left"/>
              <w:rPr>
                <w:rFonts w:eastAsia="MS Mincho" w:cs="Calibri"/>
                <w:szCs w:val="22"/>
                <w:lang w:eastAsia="ko-KR"/>
              </w:rPr>
            </w:pPr>
          </w:p>
        </w:tc>
      </w:tr>
      <w:tr w:rsidR="005868B1" w:rsidRPr="000408A8" w14:paraId="710E3284" w14:textId="77777777" w:rsidTr="00F769BB">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4343AA86"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2.9</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5F19C84"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think changes to deemed director liability should be considered in relation to all markets, or for NZX only?</w:t>
            </w:r>
          </w:p>
        </w:tc>
      </w:tr>
      <w:tr w:rsidR="005868B1" w:rsidRPr="000408A8" w14:paraId="1889DD8C" w14:textId="77777777" w:rsidTr="00F769BB">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7FB6308C"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0B716705" w14:textId="77777777" w:rsidR="005868B1" w:rsidRPr="00367713" w:rsidRDefault="005868B1" w:rsidP="003958C5">
            <w:pPr>
              <w:spacing w:after="0"/>
              <w:jc w:val="left"/>
              <w:rPr>
                <w:rFonts w:eastAsia="MS Mincho" w:cs="Calibri"/>
                <w:szCs w:val="22"/>
                <w:lang w:eastAsia="ko-KR"/>
              </w:rPr>
            </w:pPr>
          </w:p>
        </w:tc>
      </w:tr>
      <w:tr w:rsidR="005868B1" w:rsidRPr="000408A8" w14:paraId="2A100E80" w14:textId="77777777" w:rsidTr="00E658FF">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48B4E57E"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2.10</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5ED4F035" w14:textId="77777777" w:rsidR="005868B1" w:rsidRPr="00367713" w:rsidRDefault="005868B1" w:rsidP="003958C5">
            <w:pPr>
              <w:spacing w:after="0"/>
              <w:jc w:val="left"/>
              <w:rPr>
                <w:rFonts w:cs="Calibri"/>
                <w:szCs w:val="22"/>
              </w:rPr>
            </w:pPr>
            <w:r w:rsidRPr="00367713">
              <w:rPr>
                <w:rFonts w:eastAsia="MS Mincho" w:cs="Calibri"/>
                <w:szCs w:val="22"/>
                <w:lang w:eastAsia="ko-KR"/>
              </w:rPr>
              <w:t>Which option do you support (E, F, or G) for potential change to deemed director liability? Please indicate a preferred sub-option as well if relevant. Please give your main reasons.</w:t>
            </w:r>
          </w:p>
        </w:tc>
      </w:tr>
      <w:tr w:rsidR="005868B1" w:rsidRPr="000408A8" w14:paraId="107FA145" w14:textId="77777777" w:rsidTr="00E658FF">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215F091D"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55ED6D1C" w14:textId="77777777" w:rsidR="005868B1" w:rsidRPr="00367713" w:rsidRDefault="005868B1" w:rsidP="003958C5">
            <w:pPr>
              <w:spacing w:after="0"/>
              <w:jc w:val="left"/>
              <w:rPr>
                <w:rFonts w:eastAsia="MS Mincho" w:cs="Calibri"/>
                <w:szCs w:val="22"/>
                <w:lang w:eastAsia="ko-KR"/>
              </w:rPr>
            </w:pPr>
          </w:p>
        </w:tc>
      </w:tr>
      <w:tr w:rsidR="005868B1" w:rsidRPr="000408A8" w14:paraId="0FA50797" w14:textId="77777777" w:rsidTr="008D556D">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450917E5"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2.11</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8E68C67"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have a preference not reflected in the options in relation to deemed director liability?</w:t>
            </w:r>
          </w:p>
        </w:tc>
      </w:tr>
      <w:tr w:rsidR="005868B1" w:rsidRPr="000408A8" w14:paraId="27C6DB76" w14:textId="77777777" w:rsidTr="008D556D">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62272285"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12642AB3" w14:textId="77777777" w:rsidR="005868B1" w:rsidRPr="00367713" w:rsidRDefault="005868B1" w:rsidP="003958C5">
            <w:pPr>
              <w:spacing w:after="0"/>
              <w:jc w:val="left"/>
              <w:rPr>
                <w:rFonts w:eastAsia="MS Mincho" w:cs="Calibri"/>
                <w:szCs w:val="22"/>
                <w:lang w:eastAsia="ko-KR"/>
              </w:rPr>
            </w:pPr>
          </w:p>
        </w:tc>
      </w:tr>
      <w:tr w:rsidR="005868B1" w:rsidRPr="000408A8" w14:paraId="5CDC7598" w14:textId="77777777" w:rsidTr="00D85F9E">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4920D9DC" w14:textId="77777777" w:rsidR="005868B1" w:rsidRPr="00367713" w:rsidRDefault="005868B1" w:rsidP="003958C5">
            <w:pPr>
              <w:spacing w:after="0"/>
              <w:jc w:val="center"/>
              <w:rPr>
                <w:rFonts w:eastAsia="Calibri" w:cs="Calibri"/>
                <w:b/>
                <w:bCs/>
                <w:color w:val="FFFFFF"/>
                <w:szCs w:val="22"/>
                <w:lang w:eastAsia="ko-KR"/>
              </w:rPr>
            </w:pPr>
            <w:r w:rsidRPr="00367713">
              <w:rPr>
                <w:rFonts w:eastAsia="Calibri" w:cs="Calibri"/>
                <w:b/>
                <w:bCs/>
                <w:color w:val="FFFFFF"/>
                <w:szCs w:val="22"/>
                <w:lang w:eastAsia="ko-KR"/>
              </w:rPr>
              <w:t>2.12</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C52BAFF" w14:textId="77777777" w:rsidR="005868B1" w:rsidRPr="00367713" w:rsidRDefault="005868B1" w:rsidP="003958C5">
            <w:pPr>
              <w:spacing w:after="0"/>
              <w:jc w:val="left"/>
              <w:rPr>
                <w:rFonts w:cs="Calibri"/>
                <w:szCs w:val="22"/>
              </w:rPr>
            </w:pPr>
            <w:r w:rsidRPr="00367713">
              <w:rPr>
                <w:rFonts w:eastAsia="MS Mincho" w:cs="Calibri"/>
                <w:szCs w:val="22"/>
                <w:lang w:eastAsia="ko-KR"/>
              </w:rPr>
              <w:t>Do you have other comments on what the Government should consider in relation to deemed director liability?</w:t>
            </w:r>
          </w:p>
        </w:tc>
      </w:tr>
      <w:tr w:rsidR="005868B1" w:rsidRPr="000408A8" w14:paraId="41634FB5" w14:textId="77777777" w:rsidTr="00D85F9E">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7A72316B" w14:textId="77777777" w:rsidR="005868B1" w:rsidRPr="00367713" w:rsidRDefault="005868B1" w:rsidP="003958C5">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09DEBF73" w14:textId="77777777" w:rsidR="005868B1" w:rsidRPr="00367713" w:rsidRDefault="005868B1" w:rsidP="003958C5">
            <w:pPr>
              <w:spacing w:after="0"/>
              <w:jc w:val="left"/>
              <w:rPr>
                <w:rFonts w:eastAsia="MS Mincho" w:cs="Calibri"/>
                <w:szCs w:val="22"/>
                <w:lang w:eastAsia="ko-KR"/>
              </w:rPr>
            </w:pPr>
          </w:p>
        </w:tc>
      </w:tr>
      <w:tr w:rsidR="005868B1" w:rsidRPr="000408A8" w14:paraId="01B07A47" w14:textId="77777777" w:rsidTr="002075D0">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5052FCED" w14:textId="15ABBF32" w:rsidR="005868B1" w:rsidRPr="00367713" w:rsidRDefault="005868B1" w:rsidP="005868B1">
            <w:pPr>
              <w:spacing w:after="0"/>
              <w:jc w:val="center"/>
              <w:rPr>
                <w:rFonts w:eastAsia="Calibri" w:cs="Calibri"/>
                <w:b/>
                <w:bCs/>
                <w:color w:val="FFFFFF"/>
                <w:szCs w:val="22"/>
                <w:lang w:eastAsia="ko-KR"/>
              </w:rPr>
            </w:pPr>
            <w:r>
              <w:rPr>
                <w:rFonts w:eastAsia="Calibri" w:cs="Calibri"/>
                <w:b/>
                <w:bCs/>
                <w:color w:val="FFFFFF"/>
                <w:szCs w:val="22"/>
                <w:lang w:eastAsia="ko-KR"/>
              </w:rPr>
              <w:t>2.13</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1ABDE2BF" w14:textId="00F6C1E3" w:rsidR="005868B1" w:rsidRPr="005868B1" w:rsidRDefault="005868B1" w:rsidP="005868B1">
            <w:pPr>
              <w:spacing w:after="0"/>
              <w:jc w:val="left"/>
              <w:rPr>
                <w:rFonts w:eastAsia="MS Mincho" w:cs="Calibri"/>
                <w:szCs w:val="22"/>
                <w:lang w:eastAsia="ko-KR"/>
              </w:rPr>
            </w:pPr>
            <w:r w:rsidRPr="005868B1">
              <w:rPr>
                <w:rFonts w:eastAsia="MS Mincho" w:cs="Calibri"/>
                <w:szCs w:val="22"/>
                <w:lang w:eastAsia="ko-KR"/>
              </w:rPr>
              <w:t>Are there international models you would like the Government to consider?</w:t>
            </w:r>
          </w:p>
        </w:tc>
      </w:tr>
      <w:tr w:rsidR="005868B1" w:rsidRPr="000408A8" w14:paraId="63E62CD3" w14:textId="77777777" w:rsidTr="005868B1">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6B76A8E8"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423AC6B7" w14:textId="77777777" w:rsidR="005868B1" w:rsidRPr="00367713" w:rsidRDefault="005868B1" w:rsidP="005868B1">
            <w:pPr>
              <w:spacing w:after="0"/>
              <w:jc w:val="left"/>
              <w:rPr>
                <w:rFonts w:eastAsia="MS Mincho" w:cs="Calibri"/>
                <w:szCs w:val="22"/>
                <w:lang w:eastAsia="ko-KR"/>
              </w:rPr>
            </w:pPr>
          </w:p>
        </w:tc>
      </w:tr>
      <w:tr w:rsidR="005868B1" w:rsidRPr="000408A8" w14:paraId="706A0E86" w14:textId="77777777" w:rsidTr="00AE16DA">
        <w:trPr>
          <w:trHeight w:val="300"/>
        </w:trPr>
        <w:tc>
          <w:tcPr>
            <w:tcW w:w="652" w:type="dxa"/>
            <w:gridSpan w:val="3"/>
            <w:vMerge w:val="restart"/>
            <w:tcBorders>
              <w:top w:val="single" w:sz="8" w:space="0" w:color="FFFFFF"/>
              <w:left w:val="nil"/>
              <w:right w:val="nil"/>
            </w:tcBorders>
            <w:shd w:val="clear" w:color="auto" w:fill="215E99" w:themeFill="text2" w:themeFillTint="BF"/>
            <w:vAlign w:val="center"/>
          </w:tcPr>
          <w:p w14:paraId="10982176" w14:textId="422FC2A8"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2.1</w:t>
            </w:r>
            <w:r>
              <w:rPr>
                <w:rFonts w:eastAsia="Calibri" w:cs="Calibri"/>
                <w:b/>
                <w:bCs/>
                <w:color w:val="FFFFFF"/>
                <w:szCs w:val="22"/>
                <w:lang w:eastAsia="ko-KR"/>
              </w:rPr>
              <w:t>4</w:t>
            </w:r>
          </w:p>
        </w:tc>
        <w:tc>
          <w:tcPr>
            <w:tcW w:w="9554" w:type="dxa"/>
            <w:tcBorders>
              <w:top w:val="single" w:sz="4" w:space="0" w:color="auto"/>
              <w:left w:val="nil"/>
              <w:bottom w:val="single" w:sz="4" w:space="0" w:color="auto"/>
              <w:right w:val="single" w:sz="4" w:space="0" w:color="auto"/>
            </w:tcBorders>
            <w:shd w:val="clear" w:color="auto" w:fill="DAE9F7" w:themeFill="text2" w:themeFillTint="1A"/>
            <w:vAlign w:val="center"/>
          </w:tcPr>
          <w:p w14:paraId="37486C28" w14:textId="77777777" w:rsidR="005868B1" w:rsidRPr="00367713" w:rsidRDefault="005868B1" w:rsidP="005868B1">
            <w:pPr>
              <w:spacing w:after="0"/>
              <w:jc w:val="left"/>
              <w:rPr>
                <w:rFonts w:eastAsia="MS Mincho" w:cs="Calibri"/>
                <w:szCs w:val="22"/>
                <w:lang w:eastAsia="ko-KR"/>
              </w:rPr>
            </w:pPr>
            <w:r w:rsidRPr="00367713">
              <w:rPr>
                <w:rFonts w:eastAsia="MS Mincho" w:cs="Calibri"/>
                <w:szCs w:val="22"/>
                <w:lang w:eastAsia="ko-KR"/>
              </w:rPr>
              <w:t>Please share any other comments, evidence or data you have on civil liabilities.</w:t>
            </w:r>
          </w:p>
        </w:tc>
      </w:tr>
      <w:tr w:rsidR="005868B1" w:rsidRPr="000408A8" w14:paraId="2255B41B" w14:textId="77777777" w:rsidTr="00AE16DA">
        <w:trPr>
          <w:trHeight w:val="300"/>
        </w:trPr>
        <w:tc>
          <w:tcPr>
            <w:tcW w:w="652" w:type="dxa"/>
            <w:gridSpan w:val="3"/>
            <w:vMerge/>
            <w:tcBorders>
              <w:left w:val="nil"/>
              <w:bottom w:val="single" w:sz="8" w:space="0" w:color="FFFFFF"/>
              <w:right w:val="nil"/>
            </w:tcBorders>
            <w:shd w:val="clear" w:color="auto" w:fill="215E99" w:themeFill="text2" w:themeFillTint="BF"/>
            <w:vAlign w:val="center"/>
          </w:tcPr>
          <w:p w14:paraId="1CD0F7FA"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17C6025F" w14:textId="77777777" w:rsidR="005868B1" w:rsidRPr="00367713" w:rsidRDefault="005868B1" w:rsidP="005868B1">
            <w:pPr>
              <w:spacing w:after="0"/>
              <w:jc w:val="left"/>
              <w:rPr>
                <w:rFonts w:eastAsia="MS Mincho" w:cs="Calibri"/>
                <w:szCs w:val="22"/>
                <w:lang w:eastAsia="ko-KR"/>
              </w:rPr>
            </w:pPr>
          </w:p>
        </w:tc>
      </w:tr>
      <w:tr w:rsidR="005868B1" w:rsidRPr="000408A8" w14:paraId="5E956AFE"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0B769F" w:themeFill="accent4" w:themeFillShade="BF"/>
            <w:vAlign w:val="center"/>
          </w:tcPr>
          <w:p w14:paraId="2FBC1C46" w14:textId="70D5A7AE" w:rsidR="005868B1" w:rsidRPr="00A83A3B" w:rsidRDefault="005868B1" w:rsidP="005868B1">
            <w:pPr>
              <w:spacing w:after="0"/>
              <w:jc w:val="left"/>
              <w:rPr>
                <w:rFonts w:cs="Calibri"/>
                <w:b/>
                <w:bCs/>
                <w:color w:val="FFFFFF" w:themeColor="background1"/>
                <w:sz w:val="24"/>
              </w:rPr>
            </w:pPr>
            <w:r>
              <w:rPr>
                <w:rFonts w:cs="Calibri"/>
                <w:b/>
                <w:bCs/>
                <w:color w:val="FFFFFF" w:themeColor="background1"/>
                <w:sz w:val="24"/>
              </w:rPr>
              <w:t xml:space="preserve">  3.     </w:t>
            </w:r>
            <w:r w:rsidRPr="00A83A3B">
              <w:rPr>
                <w:rFonts w:cs="Calibri"/>
                <w:b/>
                <w:bCs/>
                <w:color w:val="FFFFFF" w:themeColor="background1"/>
                <w:sz w:val="24"/>
              </w:rPr>
              <w:t>Catalist market threshold and audit requirements</w:t>
            </w:r>
          </w:p>
        </w:tc>
      </w:tr>
      <w:tr w:rsidR="005868B1" w:rsidRPr="000408A8" w14:paraId="3EF03240" w14:textId="77777777" w:rsidTr="00747D19">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253669A4"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3.1</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337F8A7A" w14:textId="77777777" w:rsidR="005868B1" w:rsidRPr="00367713" w:rsidRDefault="005868B1" w:rsidP="005868B1">
            <w:pPr>
              <w:spacing w:after="0"/>
              <w:jc w:val="left"/>
              <w:rPr>
                <w:rFonts w:cs="Calibri"/>
                <w:szCs w:val="22"/>
              </w:rPr>
            </w:pPr>
            <w:r w:rsidRPr="00367713">
              <w:rPr>
                <w:rFonts w:cs="Calibri"/>
                <w:szCs w:val="22"/>
              </w:rPr>
              <w:t>Do you think Catalist’s current entry threshold (below $60 million market capitalisation) and exit threshold (two years after reaching $100 million market capitalisation) are still appropriate, having regard to its intended role and purpose? Please explain.</w:t>
            </w:r>
          </w:p>
        </w:tc>
      </w:tr>
      <w:tr w:rsidR="005868B1" w:rsidRPr="000408A8" w14:paraId="3281DA97" w14:textId="77777777" w:rsidTr="00747D19">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68EB2A9C"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20CEA44D" w14:textId="77777777" w:rsidR="005868B1" w:rsidRPr="00367713" w:rsidRDefault="005868B1" w:rsidP="005868B1">
            <w:pPr>
              <w:spacing w:after="0"/>
              <w:jc w:val="left"/>
              <w:rPr>
                <w:rFonts w:cs="Calibri"/>
                <w:szCs w:val="22"/>
              </w:rPr>
            </w:pPr>
          </w:p>
        </w:tc>
      </w:tr>
      <w:tr w:rsidR="005868B1" w:rsidRPr="000408A8" w14:paraId="4BAAB7F0" w14:textId="77777777" w:rsidTr="004F451A">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1FC4A97A"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3.2</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56A67A32" w14:textId="56A33A20" w:rsidR="005868B1" w:rsidRPr="00367713" w:rsidRDefault="005868B1" w:rsidP="005868B1">
            <w:pPr>
              <w:spacing w:after="0"/>
              <w:jc w:val="left"/>
              <w:rPr>
                <w:rFonts w:cs="Calibri"/>
                <w:szCs w:val="22"/>
              </w:rPr>
            </w:pPr>
            <w:r w:rsidRPr="00367713">
              <w:rPr>
                <w:rFonts w:cs="Calibri"/>
                <w:szCs w:val="22"/>
              </w:rPr>
              <w:t>Do you consider that the original policy rationale for Catalist—as a stepping</w:t>
            </w:r>
            <w:r w:rsidRPr="00367713">
              <w:rPr>
                <w:rFonts w:cs="Calibri"/>
                <w:szCs w:val="22"/>
              </w:rPr>
              <w:noBreakHyphen/>
              <w:t>stone market addressing a funding gap for small growth companies raising $2-20 million—should be expanded? If so, what types of issuers or needs should Catalist be designed to support, and why do you consider the associated regulatory concessions remain justified?</w:t>
            </w:r>
          </w:p>
        </w:tc>
      </w:tr>
      <w:tr w:rsidR="005868B1" w:rsidRPr="000408A8" w14:paraId="04664879" w14:textId="77777777" w:rsidTr="004F451A">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236C80EB"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149A7424" w14:textId="77777777" w:rsidR="005868B1" w:rsidRPr="00367713" w:rsidRDefault="005868B1" w:rsidP="005868B1">
            <w:pPr>
              <w:spacing w:after="0"/>
              <w:jc w:val="left"/>
              <w:rPr>
                <w:rFonts w:cs="Calibri"/>
                <w:szCs w:val="22"/>
              </w:rPr>
            </w:pPr>
          </w:p>
        </w:tc>
      </w:tr>
      <w:tr w:rsidR="005868B1" w:rsidRPr="000408A8" w14:paraId="35989B69" w14:textId="77777777" w:rsidTr="00FA7588">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6F5F61FA"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3.3</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393EB453" w14:textId="77777777" w:rsidR="005868B1" w:rsidRPr="00367713" w:rsidRDefault="005868B1" w:rsidP="005868B1">
            <w:pPr>
              <w:spacing w:after="0"/>
              <w:jc w:val="left"/>
              <w:rPr>
                <w:rFonts w:cs="Calibri"/>
                <w:szCs w:val="22"/>
              </w:rPr>
            </w:pPr>
            <w:r w:rsidRPr="00367713">
              <w:rPr>
                <w:rFonts w:cs="Calibri"/>
                <w:szCs w:val="22"/>
              </w:rPr>
              <w:t>If you support change, which option do you prefer and why? How do you think your preferred option would affect businesses considering listing on Catalist, businesses currently listed on NZX, and investors?</w:t>
            </w:r>
          </w:p>
        </w:tc>
      </w:tr>
      <w:tr w:rsidR="005868B1" w:rsidRPr="000408A8" w14:paraId="0541330F" w14:textId="77777777" w:rsidTr="00FA7588">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567F6395"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701C3599" w14:textId="77777777" w:rsidR="005868B1" w:rsidRPr="00367713" w:rsidRDefault="005868B1" w:rsidP="005868B1">
            <w:pPr>
              <w:spacing w:after="0"/>
              <w:jc w:val="left"/>
              <w:rPr>
                <w:rFonts w:cs="Calibri"/>
                <w:szCs w:val="22"/>
              </w:rPr>
            </w:pPr>
          </w:p>
        </w:tc>
      </w:tr>
      <w:tr w:rsidR="005868B1" w:rsidRPr="000408A8" w14:paraId="48835F46" w14:textId="77777777" w:rsidTr="00093D26">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3A8EDB05"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3.4</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15751A6C" w14:textId="77777777" w:rsidR="005868B1" w:rsidRPr="00367713" w:rsidRDefault="005868B1" w:rsidP="005868B1">
            <w:pPr>
              <w:spacing w:after="0"/>
              <w:jc w:val="left"/>
              <w:rPr>
                <w:rFonts w:cs="Calibri"/>
                <w:szCs w:val="22"/>
              </w:rPr>
            </w:pPr>
            <w:r w:rsidRPr="00367713">
              <w:rPr>
                <w:rFonts w:cs="Calibri"/>
                <w:szCs w:val="22"/>
              </w:rPr>
              <w:t>How would changing the thresholds affect Catalist’s role relative to NZX and the wider capital market pathways and options for growing businesses?</w:t>
            </w:r>
          </w:p>
        </w:tc>
      </w:tr>
      <w:tr w:rsidR="005868B1" w:rsidRPr="000408A8" w14:paraId="62401802" w14:textId="77777777" w:rsidTr="00093D26">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0FFC8F10"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6709138E" w14:textId="77777777" w:rsidR="005868B1" w:rsidRPr="00367713" w:rsidRDefault="005868B1" w:rsidP="005868B1">
            <w:pPr>
              <w:spacing w:after="0"/>
              <w:jc w:val="left"/>
              <w:rPr>
                <w:rFonts w:cs="Calibri"/>
                <w:szCs w:val="22"/>
              </w:rPr>
            </w:pPr>
          </w:p>
        </w:tc>
      </w:tr>
      <w:tr w:rsidR="005868B1" w:rsidRPr="000408A8" w14:paraId="05F63FE6" w14:textId="77777777" w:rsidTr="00404DBF">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72EAE98D"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3.5</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390EC05B" w14:textId="77777777" w:rsidR="005868B1" w:rsidRPr="00367713" w:rsidRDefault="005868B1" w:rsidP="005868B1">
            <w:pPr>
              <w:spacing w:after="0"/>
              <w:jc w:val="left"/>
              <w:rPr>
                <w:rFonts w:cs="Calibri"/>
                <w:szCs w:val="22"/>
              </w:rPr>
            </w:pPr>
            <w:r w:rsidRPr="00367713">
              <w:rPr>
                <w:rFonts w:cs="Calibri"/>
                <w:szCs w:val="22"/>
              </w:rPr>
              <w:t>If thresholds are changed, should any additional safeguards or conditions apply to manage risks (such as regulatory arbitrage or reduced investor confidence)? If so, what should they be?</w:t>
            </w:r>
          </w:p>
        </w:tc>
      </w:tr>
      <w:tr w:rsidR="005868B1" w:rsidRPr="000408A8" w14:paraId="13002A75" w14:textId="77777777" w:rsidTr="00404DBF">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03DAB7E9"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78CE076F" w14:textId="77777777" w:rsidR="005868B1" w:rsidRPr="00367713" w:rsidRDefault="005868B1" w:rsidP="005868B1">
            <w:pPr>
              <w:spacing w:after="0"/>
              <w:jc w:val="left"/>
              <w:rPr>
                <w:rFonts w:cs="Calibri"/>
                <w:szCs w:val="22"/>
              </w:rPr>
            </w:pPr>
          </w:p>
        </w:tc>
      </w:tr>
      <w:tr w:rsidR="005868B1" w:rsidRPr="000408A8" w14:paraId="510EA434" w14:textId="77777777" w:rsidTr="00A30465">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52FE100D"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3.6</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77BAB715" w14:textId="77777777" w:rsidR="005868B1" w:rsidRPr="00367713" w:rsidRDefault="005868B1" w:rsidP="005868B1">
            <w:pPr>
              <w:spacing w:after="0"/>
              <w:jc w:val="left"/>
              <w:rPr>
                <w:rFonts w:cs="Calibri"/>
                <w:szCs w:val="22"/>
              </w:rPr>
            </w:pPr>
            <w:r w:rsidRPr="00367713">
              <w:rPr>
                <w:rFonts w:cs="Calibri"/>
                <w:szCs w:val="22"/>
              </w:rPr>
              <w:t>Do you think the FMA should consider amending the exemption notice that enables businesses listed on Catalist to raise up to $2 million without a product disclosure statement, if the crowdfunding and peer-to-peer lending limits with which the exemption notice aligns are raised (see issue 5)?</w:t>
            </w:r>
          </w:p>
        </w:tc>
      </w:tr>
      <w:tr w:rsidR="005868B1" w:rsidRPr="000408A8" w14:paraId="4398368F" w14:textId="77777777" w:rsidTr="00A30465">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085892B5"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4900ED30" w14:textId="77777777" w:rsidR="005868B1" w:rsidRPr="00367713" w:rsidRDefault="005868B1" w:rsidP="005868B1">
            <w:pPr>
              <w:spacing w:after="0"/>
              <w:jc w:val="left"/>
              <w:rPr>
                <w:rFonts w:cs="Calibri"/>
                <w:szCs w:val="22"/>
              </w:rPr>
            </w:pPr>
          </w:p>
        </w:tc>
      </w:tr>
      <w:tr w:rsidR="005868B1" w:rsidRPr="000408A8" w14:paraId="7915E0E2" w14:textId="77777777" w:rsidTr="00962A65">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39BE373B"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3.7</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5159B231" w14:textId="77777777" w:rsidR="005868B1" w:rsidRPr="00367713" w:rsidRDefault="005868B1" w:rsidP="005868B1">
            <w:pPr>
              <w:spacing w:after="0"/>
              <w:jc w:val="left"/>
              <w:rPr>
                <w:rFonts w:cs="Calibri"/>
                <w:szCs w:val="22"/>
              </w:rPr>
            </w:pPr>
            <w:r w:rsidRPr="00367713">
              <w:rPr>
                <w:rFonts w:cs="Calibri"/>
                <w:szCs w:val="22"/>
              </w:rPr>
              <w:t>Which option do you prefer in relation to audit requirement standards? If you agree with the removal of the IFRS Tier 2 requirements, what standard should apply instead?</w:t>
            </w:r>
          </w:p>
        </w:tc>
      </w:tr>
      <w:tr w:rsidR="005868B1" w:rsidRPr="000408A8" w14:paraId="5C9373E8" w14:textId="77777777" w:rsidTr="00962A65">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63BEDA76"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2BCFC3B3" w14:textId="77777777" w:rsidR="005868B1" w:rsidRPr="00367713" w:rsidRDefault="005868B1" w:rsidP="005868B1">
            <w:pPr>
              <w:spacing w:after="0"/>
              <w:jc w:val="left"/>
              <w:rPr>
                <w:rFonts w:cs="Calibri"/>
                <w:szCs w:val="22"/>
              </w:rPr>
            </w:pPr>
          </w:p>
        </w:tc>
      </w:tr>
      <w:tr w:rsidR="005868B1" w:rsidRPr="000408A8" w14:paraId="663C93FF" w14:textId="77777777" w:rsidTr="00401626">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57612B32"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3.8</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45C308FC" w14:textId="77777777" w:rsidR="005868B1" w:rsidRPr="00367713" w:rsidRDefault="005868B1" w:rsidP="005868B1">
            <w:pPr>
              <w:spacing w:after="0"/>
              <w:jc w:val="left"/>
              <w:rPr>
                <w:rFonts w:cs="Calibri"/>
                <w:szCs w:val="22"/>
              </w:rPr>
            </w:pPr>
            <w:r w:rsidRPr="00367713">
              <w:rPr>
                <w:rFonts w:cs="Calibri"/>
                <w:szCs w:val="22"/>
              </w:rPr>
              <w:t xml:space="preserve">If you agree that some businesses should not be required to produce audited accounts prior to initial listing on Catalist, which firms should that apply to (eg, all, or only a specific size measured by number of investors, or shareholders, or voting shareholders)? </w:t>
            </w:r>
          </w:p>
        </w:tc>
      </w:tr>
      <w:tr w:rsidR="005868B1" w:rsidRPr="000408A8" w14:paraId="28926675" w14:textId="77777777" w:rsidTr="00401626">
        <w:trPr>
          <w:trHeight w:val="300"/>
        </w:trPr>
        <w:tc>
          <w:tcPr>
            <w:tcW w:w="652" w:type="dxa"/>
            <w:gridSpan w:val="3"/>
            <w:vMerge/>
            <w:tcBorders>
              <w:left w:val="nil"/>
              <w:bottom w:val="single" w:sz="8" w:space="0" w:color="FFFFFF"/>
              <w:right w:val="nil"/>
            </w:tcBorders>
            <w:shd w:val="clear" w:color="auto" w:fill="0B769F" w:themeFill="accent4" w:themeFillShade="BF"/>
            <w:vAlign w:val="center"/>
          </w:tcPr>
          <w:p w14:paraId="3D8F83BF"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45BE1758" w14:textId="77777777" w:rsidR="005868B1" w:rsidRPr="00367713" w:rsidRDefault="005868B1" w:rsidP="005868B1">
            <w:pPr>
              <w:spacing w:after="0"/>
              <w:jc w:val="left"/>
              <w:rPr>
                <w:rFonts w:cs="Calibri"/>
                <w:szCs w:val="22"/>
              </w:rPr>
            </w:pPr>
          </w:p>
        </w:tc>
      </w:tr>
      <w:tr w:rsidR="005868B1" w:rsidRPr="000408A8" w14:paraId="354B4613" w14:textId="77777777" w:rsidTr="00292DFA">
        <w:trPr>
          <w:trHeight w:val="300"/>
        </w:trPr>
        <w:tc>
          <w:tcPr>
            <w:tcW w:w="652" w:type="dxa"/>
            <w:gridSpan w:val="3"/>
            <w:vMerge w:val="restart"/>
            <w:tcBorders>
              <w:top w:val="single" w:sz="8" w:space="0" w:color="FFFFFF"/>
              <w:left w:val="nil"/>
              <w:right w:val="nil"/>
            </w:tcBorders>
            <w:shd w:val="clear" w:color="auto" w:fill="0B769F" w:themeFill="accent4" w:themeFillShade="BF"/>
            <w:vAlign w:val="center"/>
          </w:tcPr>
          <w:p w14:paraId="3D067F6B"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3.9</w:t>
            </w:r>
          </w:p>
        </w:tc>
        <w:tc>
          <w:tcPr>
            <w:tcW w:w="9554" w:type="dxa"/>
            <w:tcBorders>
              <w:top w:val="single" w:sz="4" w:space="0" w:color="auto"/>
              <w:left w:val="nil"/>
              <w:bottom w:val="single" w:sz="4" w:space="0" w:color="auto"/>
              <w:right w:val="single" w:sz="4" w:space="0" w:color="auto"/>
            </w:tcBorders>
            <w:shd w:val="clear" w:color="auto" w:fill="E9F7FD"/>
            <w:vAlign w:val="center"/>
          </w:tcPr>
          <w:p w14:paraId="3D530749" w14:textId="77777777" w:rsidR="005868B1" w:rsidRPr="00367713" w:rsidRDefault="005868B1" w:rsidP="005868B1">
            <w:pPr>
              <w:spacing w:after="0"/>
              <w:jc w:val="left"/>
              <w:rPr>
                <w:rFonts w:cs="Calibri"/>
                <w:szCs w:val="22"/>
              </w:rPr>
            </w:pPr>
            <w:r w:rsidRPr="00367713">
              <w:rPr>
                <w:szCs w:val="22"/>
              </w:rPr>
              <w:t>Please share any other comments, evidence or data you have on changes to Catalist settings.</w:t>
            </w:r>
          </w:p>
        </w:tc>
      </w:tr>
      <w:tr w:rsidR="005868B1" w:rsidRPr="000408A8" w14:paraId="3B671816" w14:textId="77777777" w:rsidTr="00292DFA">
        <w:trPr>
          <w:trHeight w:val="300"/>
        </w:trPr>
        <w:tc>
          <w:tcPr>
            <w:tcW w:w="652" w:type="dxa"/>
            <w:gridSpan w:val="3"/>
            <w:vMerge/>
            <w:tcBorders>
              <w:left w:val="nil"/>
              <w:bottom w:val="single" w:sz="4" w:space="0" w:color="000000" w:themeColor="text1"/>
              <w:right w:val="nil"/>
            </w:tcBorders>
            <w:shd w:val="clear" w:color="auto" w:fill="0B769F" w:themeFill="accent4" w:themeFillShade="BF"/>
            <w:vAlign w:val="center"/>
          </w:tcPr>
          <w:p w14:paraId="12F6D01B" w14:textId="77777777" w:rsidR="005868B1" w:rsidRPr="00367713" w:rsidRDefault="005868B1" w:rsidP="005868B1">
            <w:pPr>
              <w:spacing w:after="0"/>
              <w:jc w:val="center"/>
              <w:rPr>
                <w:rFonts w:eastAsia="Calibri" w:cs="Calibri"/>
                <w:b/>
                <w:bCs/>
                <w:color w:val="FFFFFF"/>
                <w:szCs w:val="22"/>
                <w:lang w:eastAsia="ko-KR"/>
              </w:rPr>
            </w:pPr>
          </w:p>
        </w:tc>
        <w:tc>
          <w:tcPr>
            <w:tcW w:w="9554" w:type="dxa"/>
            <w:tcBorders>
              <w:top w:val="single" w:sz="4" w:space="0" w:color="auto"/>
              <w:left w:val="nil"/>
              <w:bottom w:val="single" w:sz="4" w:space="0" w:color="auto"/>
              <w:right w:val="single" w:sz="4" w:space="0" w:color="auto"/>
            </w:tcBorders>
            <w:vAlign w:val="center"/>
          </w:tcPr>
          <w:p w14:paraId="219A66D1" w14:textId="77777777" w:rsidR="005868B1" w:rsidRPr="00367713" w:rsidRDefault="005868B1" w:rsidP="005868B1">
            <w:pPr>
              <w:spacing w:after="0"/>
              <w:jc w:val="left"/>
              <w:rPr>
                <w:szCs w:val="22"/>
              </w:rPr>
            </w:pPr>
          </w:p>
        </w:tc>
      </w:tr>
      <w:tr w:rsidR="005868B1" w:rsidRPr="000408A8" w14:paraId="4559DD08"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215E99" w:themeFill="text2" w:themeFillTint="BF"/>
            <w:vAlign w:val="center"/>
          </w:tcPr>
          <w:p w14:paraId="67871C69" w14:textId="2DEFFB9B" w:rsidR="005868B1" w:rsidRPr="000408A8" w:rsidRDefault="005868B1" w:rsidP="005868B1">
            <w:pPr>
              <w:spacing w:after="0"/>
              <w:jc w:val="left"/>
              <w:rPr>
                <w:rFonts w:cs="Calibri"/>
                <w:b/>
                <w:bCs/>
                <w:sz w:val="20"/>
                <w:szCs w:val="20"/>
              </w:rPr>
            </w:pPr>
            <w:r>
              <w:rPr>
                <w:rFonts w:cs="Calibri"/>
                <w:b/>
                <w:bCs/>
                <w:color w:val="FFFFFF" w:themeColor="background1"/>
                <w:sz w:val="24"/>
              </w:rPr>
              <w:t xml:space="preserve">4.    </w:t>
            </w:r>
            <w:r w:rsidRPr="00A83A3B">
              <w:rPr>
                <w:rFonts w:cs="Calibri"/>
                <w:b/>
                <w:bCs/>
                <w:color w:val="FFFFFF" w:themeColor="background1"/>
                <w:sz w:val="24"/>
              </w:rPr>
              <w:t>USX audit requirements</w:t>
            </w:r>
          </w:p>
        </w:tc>
      </w:tr>
      <w:tr w:rsidR="005868B1" w:rsidRPr="000408A8" w14:paraId="29CBFEB9"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23816389"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4.1</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35D43A43" w14:textId="77777777" w:rsidR="005868B1" w:rsidRPr="00367713" w:rsidRDefault="005868B1" w:rsidP="005868B1">
            <w:pPr>
              <w:spacing w:after="0"/>
              <w:jc w:val="left"/>
              <w:rPr>
                <w:rFonts w:cs="Calibri"/>
                <w:szCs w:val="22"/>
              </w:rPr>
            </w:pPr>
            <w:r w:rsidRPr="00367713">
              <w:rPr>
                <w:rFonts w:cs="Calibri"/>
                <w:szCs w:val="22"/>
              </w:rPr>
              <w:t>Do you think USX’s current audit requirements are proportionate for the type of market USX operates and the issuers that use it? Please explain.</w:t>
            </w:r>
          </w:p>
        </w:tc>
      </w:tr>
      <w:tr w:rsidR="005868B1" w:rsidRPr="000408A8" w14:paraId="53AAECFC" w14:textId="77777777" w:rsidTr="00777ECD">
        <w:trPr>
          <w:trHeight w:val="300"/>
        </w:trPr>
        <w:tc>
          <w:tcPr>
            <w:tcW w:w="551" w:type="dxa"/>
            <w:vMerge/>
            <w:tcBorders>
              <w:left w:val="nil"/>
              <w:bottom w:val="single" w:sz="8" w:space="0" w:color="FFFFFF"/>
              <w:right w:val="nil"/>
            </w:tcBorders>
            <w:shd w:val="clear" w:color="auto" w:fill="215E99" w:themeFill="text2" w:themeFillTint="BF"/>
            <w:vAlign w:val="center"/>
          </w:tcPr>
          <w:p w14:paraId="66611938"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3611605F" w14:textId="77777777" w:rsidR="005868B1" w:rsidRPr="00367713" w:rsidRDefault="005868B1" w:rsidP="005868B1">
            <w:pPr>
              <w:spacing w:after="0"/>
              <w:jc w:val="left"/>
              <w:rPr>
                <w:rFonts w:cs="Calibri"/>
                <w:szCs w:val="22"/>
              </w:rPr>
            </w:pPr>
          </w:p>
        </w:tc>
      </w:tr>
      <w:tr w:rsidR="005868B1" w:rsidRPr="000408A8" w14:paraId="0762B19E"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1F7C5A5"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4.2</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6965F486" w14:textId="77777777" w:rsidR="005868B1" w:rsidRPr="00367713" w:rsidRDefault="005868B1" w:rsidP="005868B1">
            <w:pPr>
              <w:spacing w:after="0"/>
              <w:jc w:val="left"/>
              <w:rPr>
                <w:rFonts w:cs="Calibri"/>
                <w:szCs w:val="22"/>
              </w:rPr>
            </w:pPr>
            <w:r w:rsidRPr="00367713">
              <w:rPr>
                <w:rFonts w:cs="Calibri"/>
                <w:szCs w:val="22"/>
              </w:rPr>
              <w:t>If you support change for USX, which option do you prefer? Why?</w:t>
            </w:r>
          </w:p>
        </w:tc>
      </w:tr>
      <w:tr w:rsidR="005868B1" w:rsidRPr="000408A8" w14:paraId="50CC52E4" w14:textId="77777777" w:rsidTr="008C07BC">
        <w:trPr>
          <w:trHeight w:val="300"/>
        </w:trPr>
        <w:tc>
          <w:tcPr>
            <w:tcW w:w="551" w:type="dxa"/>
            <w:vMerge/>
            <w:tcBorders>
              <w:left w:val="nil"/>
              <w:bottom w:val="single" w:sz="8" w:space="0" w:color="FFFFFF"/>
              <w:right w:val="nil"/>
            </w:tcBorders>
            <w:shd w:val="clear" w:color="auto" w:fill="215E99" w:themeFill="text2" w:themeFillTint="BF"/>
            <w:vAlign w:val="center"/>
          </w:tcPr>
          <w:p w14:paraId="30E53203"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63BC7B1F" w14:textId="77777777" w:rsidR="005868B1" w:rsidRPr="00367713" w:rsidRDefault="005868B1" w:rsidP="005868B1">
            <w:pPr>
              <w:spacing w:after="0"/>
              <w:jc w:val="left"/>
              <w:rPr>
                <w:rFonts w:cs="Calibri"/>
                <w:szCs w:val="22"/>
              </w:rPr>
            </w:pPr>
          </w:p>
        </w:tc>
      </w:tr>
      <w:tr w:rsidR="005868B1" w:rsidRPr="000408A8" w14:paraId="55E70458"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7044B451"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4.3</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16C670ED" w14:textId="77777777" w:rsidR="005868B1" w:rsidRPr="00367713" w:rsidRDefault="005868B1" w:rsidP="005868B1">
            <w:pPr>
              <w:spacing w:after="0"/>
              <w:jc w:val="left"/>
              <w:rPr>
                <w:rFonts w:cs="Calibri"/>
                <w:szCs w:val="22"/>
              </w:rPr>
            </w:pPr>
            <w:r w:rsidRPr="00367713">
              <w:rPr>
                <w:rFonts w:cs="Calibri"/>
                <w:szCs w:val="22"/>
              </w:rPr>
              <w:t>If an External Review Board review engagement were allowed for some USX issuers, what criteria should determine eligibility? For example, should this depend on issuer size, shareholder numbers, annual fundraising, trading activity or something else?</w:t>
            </w:r>
          </w:p>
        </w:tc>
      </w:tr>
      <w:tr w:rsidR="005868B1" w:rsidRPr="000408A8" w14:paraId="680EEE15" w14:textId="77777777" w:rsidTr="00430C93">
        <w:trPr>
          <w:trHeight w:val="300"/>
        </w:trPr>
        <w:tc>
          <w:tcPr>
            <w:tcW w:w="551" w:type="dxa"/>
            <w:vMerge/>
            <w:tcBorders>
              <w:left w:val="nil"/>
              <w:bottom w:val="single" w:sz="8" w:space="0" w:color="FFFFFF"/>
              <w:right w:val="nil"/>
            </w:tcBorders>
            <w:shd w:val="clear" w:color="auto" w:fill="215E99" w:themeFill="text2" w:themeFillTint="BF"/>
            <w:vAlign w:val="center"/>
          </w:tcPr>
          <w:p w14:paraId="78FA45AA"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344F7A2D" w14:textId="77777777" w:rsidR="005868B1" w:rsidRPr="00367713" w:rsidRDefault="005868B1" w:rsidP="005868B1">
            <w:pPr>
              <w:spacing w:after="0"/>
              <w:jc w:val="left"/>
              <w:rPr>
                <w:rFonts w:cs="Calibri"/>
                <w:szCs w:val="22"/>
              </w:rPr>
            </w:pPr>
          </w:p>
        </w:tc>
      </w:tr>
      <w:tr w:rsidR="005868B1" w:rsidRPr="000408A8" w14:paraId="1D3BE756"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A9E926A"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4.4</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5063BC4E" w14:textId="77777777" w:rsidR="005868B1" w:rsidRPr="00367713" w:rsidRDefault="005868B1" w:rsidP="005868B1">
            <w:pPr>
              <w:spacing w:after="0"/>
              <w:jc w:val="left"/>
              <w:rPr>
                <w:rFonts w:cs="Calibri"/>
                <w:szCs w:val="22"/>
              </w:rPr>
            </w:pPr>
            <w:r w:rsidRPr="00367713">
              <w:rPr>
                <w:rFonts w:cs="Calibri"/>
                <w:szCs w:val="22"/>
              </w:rPr>
              <w:t>If audit requirements are reduced for some USX issuers, should the same criteria also apply on Catalist? Why or why not?</w:t>
            </w:r>
          </w:p>
        </w:tc>
      </w:tr>
      <w:tr w:rsidR="005868B1" w:rsidRPr="000408A8" w14:paraId="388B9AA7" w14:textId="77777777" w:rsidTr="00CF63AE">
        <w:trPr>
          <w:trHeight w:val="300"/>
        </w:trPr>
        <w:tc>
          <w:tcPr>
            <w:tcW w:w="551" w:type="dxa"/>
            <w:vMerge/>
            <w:tcBorders>
              <w:left w:val="nil"/>
              <w:bottom w:val="single" w:sz="8" w:space="0" w:color="FFFFFF"/>
              <w:right w:val="nil"/>
            </w:tcBorders>
            <w:shd w:val="clear" w:color="auto" w:fill="215E99" w:themeFill="text2" w:themeFillTint="BF"/>
            <w:vAlign w:val="center"/>
          </w:tcPr>
          <w:p w14:paraId="767D9914"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4B668F13" w14:textId="77777777" w:rsidR="005868B1" w:rsidRPr="00367713" w:rsidRDefault="005868B1" w:rsidP="005868B1">
            <w:pPr>
              <w:spacing w:after="0"/>
              <w:jc w:val="left"/>
              <w:rPr>
                <w:rFonts w:cs="Calibri"/>
                <w:szCs w:val="22"/>
              </w:rPr>
            </w:pPr>
          </w:p>
        </w:tc>
      </w:tr>
      <w:tr w:rsidR="005868B1" w:rsidRPr="000408A8" w14:paraId="3E0650EA"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E269068"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4.5</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487EA82B" w14:textId="77777777" w:rsidR="005868B1" w:rsidRPr="00367713" w:rsidRDefault="005868B1" w:rsidP="005868B1">
            <w:pPr>
              <w:spacing w:after="0"/>
              <w:jc w:val="left"/>
              <w:rPr>
                <w:rFonts w:cs="Calibri"/>
                <w:szCs w:val="22"/>
              </w:rPr>
            </w:pPr>
            <w:r w:rsidRPr="00367713">
              <w:rPr>
                <w:rFonts w:cs="Calibri"/>
                <w:szCs w:val="22"/>
              </w:rPr>
              <w:t>What broader evidence or practical examples should the Government consider when assessing whether current audit requirements are affecting issuer participation, investor confidence, or the role of smaller markets more generally?</w:t>
            </w:r>
          </w:p>
        </w:tc>
      </w:tr>
      <w:tr w:rsidR="005868B1" w:rsidRPr="000408A8" w14:paraId="4E613FC0" w14:textId="77777777" w:rsidTr="00F42CBF">
        <w:trPr>
          <w:trHeight w:val="300"/>
        </w:trPr>
        <w:tc>
          <w:tcPr>
            <w:tcW w:w="551" w:type="dxa"/>
            <w:vMerge/>
            <w:tcBorders>
              <w:left w:val="nil"/>
              <w:bottom w:val="single" w:sz="8" w:space="0" w:color="FFFFFF"/>
              <w:right w:val="nil"/>
            </w:tcBorders>
            <w:shd w:val="clear" w:color="auto" w:fill="215E99" w:themeFill="text2" w:themeFillTint="BF"/>
            <w:vAlign w:val="center"/>
          </w:tcPr>
          <w:p w14:paraId="25DF8A4E"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0BC98E35" w14:textId="77777777" w:rsidR="005868B1" w:rsidRPr="00367713" w:rsidRDefault="005868B1" w:rsidP="005868B1">
            <w:pPr>
              <w:spacing w:after="0"/>
              <w:jc w:val="left"/>
              <w:rPr>
                <w:rFonts w:cs="Calibri"/>
                <w:szCs w:val="22"/>
              </w:rPr>
            </w:pPr>
          </w:p>
        </w:tc>
      </w:tr>
      <w:tr w:rsidR="005868B1" w:rsidRPr="000408A8" w14:paraId="5FA06602"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35AEBF0"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4.6</w:t>
            </w:r>
          </w:p>
        </w:tc>
        <w:tc>
          <w:tcPr>
            <w:tcW w:w="9655" w:type="dxa"/>
            <w:gridSpan w:val="3"/>
            <w:tcBorders>
              <w:top w:val="single" w:sz="4" w:space="0" w:color="auto"/>
              <w:left w:val="nil"/>
              <w:bottom w:val="single" w:sz="4" w:space="0" w:color="auto"/>
              <w:right w:val="single" w:sz="4" w:space="0" w:color="auto"/>
            </w:tcBorders>
            <w:shd w:val="clear" w:color="auto" w:fill="DAE9F7" w:themeFill="text2" w:themeFillTint="1A"/>
            <w:vAlign w:val="center"/>
          </w:tcPr>
          <w:p w14:paraId="221A223E" w14:textId="77777777" w:rsidR="005868B1" w:rsidRPr="00367713" w:rsidRDefault="005868B1" w:rsidP="005868B1">
            <w:pPr>
              <w:spacing w:after="0"/>
              <w:jc w:val="left"/>
              <w:rPr>
                <w:rFonts w:cs="Calibri"/>
                <w:szCs w:val="22"/>
              </w:rPr>
            </w:pPr>
            <w:r w:rsidRPr="00367713">
              <w:rPr>
                <w:rFonts w:cs="Calibri"/>
                <w:szCs w:val="22"/>
              </w:rPr>
              <w:t>Please share any other comments, evidence or data you have on USX settings.</w:t>
            </w:r>
          </w:p>
        </w:tc>
      </w:tr>
      <w:tr w:rsidR="005868B1" w:rsidRPr="000408A8" w14:paraId="2D610ABB" w14:textId="77777777" w:rsidTr="008D6E72">
        <w:trPr>
          <w:trHeight w:val="300"/>
        </w:trPr>
        <w:tc>
          <w:tcPr>
            <w:tcW w:w="551" w:type="dxa"/>
            <w:vMerge/>
            <w:tcBorders>
              <w:left w:val="nil"/>
              <w:bottom w:val="single" w:sz="8" w:space="0" w:color="FFFFFF"/>
              <w:right w:val="nil"/>
            </w:tcBorders>
            <w:shd w:val="clear" w:color="auto" w:fill="215E99" w:themeFill="text2" w:themeFillTint="BF"/>
            <w:vAlign w:val="center"/>
          </w:tcPr>
          <w:p w14:paraId="5D0F76D6"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354EDC2A" w14:textId="77777777" w:rsidR="005868B1" w:rsidRPr="00367713" w:rsidRDefault="005868B1" w:rsidP="005868B1">
            <w:pPr>
              <w:spacing w:after="0"/>
              <w:jc w:val="left"/>
              <w:rPr>
                <w:rFonts w:cs="Calibri"/>
                <w:szCs w:val="22"/>
              </w:rPr>
            </w:pPr>
          </w:p>
        </w:tc>
      </w:tr>
      <w:tr w:rsidR="005868B1" w:rsidRPr="000408A8" w14:paraId="0120FE6F" w14:textId="77777777" w:rsidTr="00511869">
        <w:trPr>
          <w:trHeight w:val="567"/>
        </w:trPr>
        <w:tc>
          <w:tcPr>
            <w:tcW w:w="10206" w:type="dxa"/>
            <w:gridSpan w:val="4"/>
            <w:tcBorders>
              <w:top w:val="single" w:sz="8" w:space="0" w:color="FFFFFF"/>
              <w:left w:val="nil"/>
              <w:bottom w:val="single" w:sz="8" w:space="0" w:color="FFFFFF"/>
              <w:right w:val="single" w:sz="4" w:space="0" w:color="auto"/>
            </w:tcBorders>
            <w:shd w:val="clear" w:color="auto" w:fill="0B769F" w:themeFill="accent4" w:themeFillShade="BF"/>
            <w:vAlign w:val="center"/>
          </w:tcPr>
          <w:p w14:paraId="2776517D" w14:textId="7186CFB8" w:rsidR="005868B1" w:rsidRPr="000408A8" w:rsidRDefault="005868B1" w:rsidP="005868B1">
            <w:pPr>
              <w:spacing w:after="0"/>
              <w:jc w:val="left"/>
              <w:rPr>
                <w:rFonts w:cs="Calibri"/>
                <w:b/>
                <w:bCs/>
                <w:sz w:val="20"/>
                <w:szCs w:val="20"/>
              </w:rPr>
            </w:pPr>
            <w:r>
              <w:rPr>
                <w:rFonts w:cs="Calibri"/>
                <w:b/>
                <w:bCs/>
                <w:color w:val="FFFFFF" w:themeColor="background1"/>
                <w:sz w:val="24"/>
              </w:rPr>
              <w:t xml:space="preserve">5.    </w:t>
            </w:r>
            <w:r w:rsidRPr="00A83A3B">
              <w:rPr>
                <w:rFonts w:cs="Calibri"/>
                <w:b/>
                <w:bCs/>
                <w:color w:val="FFFFFF" w:themeColor="background1"/>
                <w:sz w:val="24"/>
              </w:rPr>
              <w:t>Crowdfunding and peer-to-peer lending limits</w:t>
            </w:r>
          </w:p>
        </w:tc>
      </w:tr>
      <w:tr w:rsidR="005868B1" w:rsidRPr="000408A8" w14:paraId="582057F9" w14:textId="77777777" w:rsidTr="00AD047C">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69CD8984"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5.1</w:t>
            </w:r>
          </w:p>
        </w:tc>
        <w:tc>
          <w:tcPr>
            <w:tcW w:w="9655" w:type="dxa"/>
            <w:gridSpan w:val="3"/>
            <w:tcBorders>
              <w:top w:val="single" w:sz="4" w:space="0" w:color="auto"/>
              <w:left w:val="nil"/>
              <w:bottom w:val="single" w:sz="4" w:space="0" w:color="auto"/>
              <w:right w:val="single" w:sz="4" w:space="0" w:color="auto"/>
            </w:tcBorders>
            <w:shd w:val="clear" w:color="auto" w:fill="E9F7FD"/>
            <w:vAlign w:val="center"/>
          </w:tcPr>
          <w:p w14:paraId="0D2178B4" w14:textId="77777777" w:rsidR="005868B1" w:rsidRPr="00367713" w:rsidRDefault="005868B1" w:rsidP="005868B1">
            <w:pPr>
              <w:spacing w:after="0"/>
              <w:jc w:val="left"/>
              <w:rPr>
                <w:rFonts w:cs="Calibri"/>
                <w:szCs w:val="22"/>
              </w:rPr>
            </w:pPr>
            <w:r w:rsidRPr="00367713">
              <w:rPr>
                <w:rFonts w:cs="Calibri"/>
                <w:szCs w:val="22"/>
              </w:rPr>
              <w:t xml:space="preserve">Do you think the current aggregate $2 million capital-raising limit should be increased for equity crowdfunding and P2P lending? If yes, please discuss why you think it should change (eg, any practical constraints you think the current cap creates and how a higher limit might change the way businesses use crowdfunding or peer-to-peer lending). </w:t>
            </w:r>
          </w:p>
        </w:tc>
      </w:tr>
      <w:tr w:rsidR="005868B1" w:rsidRPr="000408A8" w14:paraId="16D0EE1B" w14:textId="77777777" w:rsidTr="00AD047C">
        <w:trPr>
          <w:trHeight w:val="300"/>
        </w:trPr>
        <w:tc>
          <w:tcPr>
            <w:tcW w:w="551" w:type="dxa"/>
            <w:vMerge/>
            <w:tcBorders>
              <w:left w:val="nil"/>
              <w:bottom w:val="single" w:sz="8" w:space="0" w:color="FFFFFF"/>
              <w:right w:val="nil"/>
            </w:tcBorders>
            <w:shd w:val="clear" w:color="auto" w:fill="0B769F" w:themeFill="accent4" w:themeFillShade="BF"/>
            <w:vAlign w:val="center"/>
          </w:tcPr>
          <w:p w14:paraId="39B277DB"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0EACD0BF" w14:textId="77777777" w:rsidR="005868B1" w:rsidRPr="00367713" w:rsidRDefault="005868B1" w:rsidP="005868B1">
            <w:pPr>
              <w:spacing w:after="0"/>
              <w:jc w:val="left"/>
              <w:rPr>
                <w:rFonts w:cs="Calibri"/>
                <w:szCs w:val="22"/>
              </w:rPr>
            </w:pPr>
          </w:p>
        </w:tc>
      </w:tr>
      <w:tr w:rsidR="005868B1" w:rsidRPr="000408A8" w14:paraId="3899E7A4" w14:textId="77777777" w:rsidTr="000448FB">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6BDBC957"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5.2</w:t>
            </w:r>
          </w:p>
        </w:tc>
        <w:tc>
          <w:tcPr>
            <w:tcW w:w="9655" w:type="dxa"/>
            <w:gridSpan w:val="3"/>
            <w:tcBorders>
              <w:top w:val="single" w:sz="4" w:space="0" w:color="auto"/>
              <w:left w:val="nil"/>
              <w:bottom w:val="single" w:sz="4" w:space="0" w:color="auto"/>
              <w:right w:val="single" w:sz="4" w:space="0" w:color="auto"/>
            </w:tcBorders>
            <w:shd w:val="clear" w:color="auto" w:fill="E9F7FD"/>
            <w:vAlign w:val="center"/>
          </w:tcPr>
          <w:p w14:paraId="69C7FF4C" w14:textId="77777777" w:rsidR="005868B1" w:rsidRPr="00367713" w:rsidRDefault="005868B1" w:rsidP="005868B1">
            <w:pPr>
              <w:spacing w:after="0"/>
              <w:jc w:val="left"/>
              <w:rPr>
                <w:rFonts w:cs="Calibri"/>
                <w:szCs w:val="22"/>
              </w:rPr>
            </w:pPr>
            <w:r w:rsidRPr="00367713">
              <w:rPr>
                <w:rFonts w:cs="Calibri"/>
                <w:szCs w:val="22"/>
              </w:rPr>
              <w:t>If the “small offers” category is removed from the aggregate, what limit do you think should apply to it separately?</w:t>
            </w:r>
          </w:p>
        </w:tc>
      </w:tr>
      <w:tr w:rsidR="005868B1" w:rsidRPr="000408A8" w14:paraId="1E797B92" w14:textId="77777777" w:rsidTr="000448FB">
        <w:trPr>
          <w:trHeight w:val="300"/>
        </w:trPr>
        <w:tc>
          <w:tcPr>
            <w:tcW w:w="551" w:type="dxa"/>
            <w:vMerge/>
            <w:tcBorders>
              <w:left w:val="nil"/>
              <w:bottom w:val="single" w:sz="8" w:space="0" w:color="FFFFFF"/>
              <w:right w:val="nil"/>
            </w:tcBorders>
            <w:shd w:val="clear" w:color="auto" w:fill="0B769F" w:themeFill="accent4" w:themeFillShade="BF"/>
            <w:vAlign w:val="center"/>
          </w:tcPr>
          <w:p w14:paraId="405C5055"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3082A179" w14:textId="77777777" w:rsidR="005868B1" w:rsidRPr="00367713" w:rsidRDefault="005868B1" w:rsidP="005868B1">
            <w:pPr>
              <w:spacing w:after="0"/>
              <w:jc w:val="left"/>
              <w:rPr>
                <w:rFonts w:cs="Calibri"/>
                <w:szCs w:val="22"/>
              </w:rPr>
            </w:pPr>
          </w:p>
        </w:tc>
      </w:tr>
      <w:tr w:rsidR="005868B1" w:rsidRPr="000408A8" w14:paraId="47EF8950" w14:textId="77777777" w:rsidTr="00293723">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0358610A"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5.3</w:t>
            </w:r>
          </w:p>
        </w:tc>
        <w:tc>
          <w:tcPr>
            <w:tcW w:w="9655" w:type="dxa"/>
            <w:gridSpan w:val="3"/>
            <w:tcBorders>
              <w:top w:val="single" w:sz="4" w:space="0" w:color="auto"/>
              <w:left w:val="nil"/>
              <w:bottom w:val="single" w:sz="4" w:space="0" w:color="auto"/>
              <w:right w:val="single" w:sz="4" w:space="0" w:color="auto"/>
            </w:tcBorders>
            <w:shd w:val="clear" w:color="auto" w:fill="E9F7FD"/>
            <w:vAlign w:val="center"/>
          </w:tcPr>
          <w:p w14:paraId="708F63AB" w14:textId="77777777" w:rsidR="005868B1" w:rsidRPr="00367713" w:rsidRDefault="005868B1" w:rsidP="005868B1">
            <w:pPr>
              <w:spacing w:after="0"/>
              <w:jc w:val="left"/>
              <w:rPr>
                <w:rFonts w:cs="Calibri"/>
                <w:szCs w:val="22"/>
              </w:rPr>
            </w:pPr>
            <w:r w:rsidRPr="00367713">
              <w:rPr>
                <w:rFonts w:cs="Calibri"/>
                <w:szCs w:val="22"/>
              </w:rPr>
              <w:t>Which option (A-D) do you support and why? If there are variables within the option, please be as specific as possible. (For example, if you support option B to raise the limit, please say what you think the new aggregate limit should be and why; if you support option C, please say what you think the separate limits should be.)</w:t>
            </w:r>
          </w:p>
        </w:tc>
      </w:tr>
      <w:tr w:rsidR="005868B1" w:rsidRPr="000408A8" w14:paraId="25F9255A" w14:textId="77777777" w:rsidTr="00293723">
        <w:trPr>
          <w:trHeight w:val="300"/>
        </w:trPr>
        <w:tc>
          <w:tcPr>
            <w:tcW w:w="551" w:type="dxa"/>
            <w:vMerge/>
            <w:tcBorders>
              <w:left w:val="nil"/>
              <w:bottom w:val="single" w:sz="8" w:space="0" w:color="FFFFFF"/>
              <w:right w:val="nil"/>
            </w:tcBorders>
            <w:shd w:val="clear" w:color="auto" w:fill="0B769F" w:themeFill="accent4" w:themeFillShade="BF"/>
            <w:vAlign w:val="center"/>
          </w:tcPr>
          <w:p w14:paraId="6F178F16" w14:textId="77777777" w:rsidR="005868B1" w:rsidRPr="00367713" w:rsidRDefault="005868B1" w:rsidP="005868B1">
            <w:pPr>
              <w:spacing w:after="0"/>
              <w:jc w:val="center"/>
              <w:rPr>
                <w:rFonts w:eastAsia="Calibri" w:cs="Calibri"/>
                <w:b/>
                <w:bCs/>
                <w:color w:val="FFFFFF"/>
                <w:szCs w:val="22"/>
                <w:lang w:eastAsia="ko-KR"/>
              </w:rPr>
            </w:pPr>
          </w:p>
        </w:tc>
        <w:tc>
          <w:tcPr>
            <w:tcW w:w="9655" w:type="dxa"/>
            <w:gridSpan w:val="3"/>
            <w:tcBorders>
              <w:top w:val="single" w:sz="4" w:space="0" w:color="auto"/>
              <w:left w:val="nil"/>
              <w:bottom w:val="single" w:sz="4" w:space="0" w:color="auto"/>
              <w:right w:val="single" w:sz="4" w:space="0" w:color="auto"/>
            </w:tcBorders>
            <w:vAlign w:val="center"/>
          </w:tcPr>
          <w:p w14:paraId="0ECFB6DE" w14:textId="77777777" w:rsidR="005868B1" w:rsidRDefault="005868B1" w:rsidP="005868B1">
            <w:pPr>
              <w:spacing w:after="0"/>
              <w:jc w:val="left"/>
              <w:rPr>
                <w:rFonts w:cs="Calibri"/>
                <w:szCs w:val="22"/>
              </w:rPr>
            </w:pPr>
          </w:p>
          <w:p w14:paraId="75D921F8" w14:textId="77777777" w:rsidR="005868B1" w:rsidRPr="00367713" w:rsidRDefault="005868B1" w:rsidP="005868B1">
            <w:pPr>
              <w:spacing w:after="0"/>
              <w:jc w:val="left"/>
              <w:rPr>
                <w:rFonts w:cs="Calibri"/>
                <w:szCs w:val="22"/>
              </w:rPr>
            </w:pPr>
          </w:p>
        </w:tc>
      </w:tr>
    </w:tbl>
    <w:p w14:paraId="46C78905" w14:textId="77777777" w:rsidR="005868B1" w:rsidRDefault="005868B1">
      <w:r>
        <w:br w:type="page"/>
      </w:r>
    </w:p>
    <w:tbl>
      <w:tblPr>
        <w:tblW w:w="10206"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51"/>
        <w:gridCol w:w="9655"/>
      </w:tblGrid>
      <w:tr w:rsidR="005868B1" w:rsidRPr="000408A8" w14:paraId="20BE724E" w14:textId="77777777" w:rsidTr="00511869">
        <w:trPr>
          <w:trHeight w:val="300"/>
        </w:trPr>
        <w:tc>
          <w:tcPr>
            <w:tcW w:w="551" w:type="dxa"/>
            <w:tcBorders>
              <w:top w:val="single" w:sz="8" w:space="0" w:color="FFFFFF"/>
              <w:left w:val="nil"/>
              <w:bottom w:val="single" w:sz="8" w:space="0" w:color="FFFFFF"/>
              <w:right w:val="nil"/>
            </w:tcBorders>
            <w:shd w:val="clear" w:color="auto" w:fill="0B769F" w:themeFill="accent4" w:themeFillShade="BF"/>
            <w:vAlign w:val="center"/>
          </w:tcPr>
          <w:p w14:paraId="4B739502" w14:textId="0FB5A6AA"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5.4</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2C284A7D" w14:textId="77777777" w:rsidR="005868B1" w:rsidRPr="00367713" w:rsidRDefault="005868B1" w:rsidP="005868B1">
            <w:pPr>
              <w:spacing w:after="0"/>
              <w:jc w:val="left"/>
              <w:rPr>
                <w:rFonts w:cs="Calibri"/>
                <w:szCs w:val="22"/>
              </w:rPr>
            </w:pPr>
            <w:r w:rsidRPr="00367713">
              <w:rPr>
                <w:rFonts w:cs="Calibri"/>
                <w:szCs w:val="22"/>
              </w:rPr>
              <w:t>If you support Option D, do you have suggestions for how requirements could be tiered?</w:t>
            </w:r>
          </w:p>
        </w:tc>
      </w:tr>
      <w:tr w:rsidR="005868B1" w:rsidRPr="000408A8" w14:paraId="2BC7322B" w14:textId="77777777" w:rsidTr="005868B1">
        <w:trPr>
          <w:trHeight w:val="300"/>
        </w:trPr>
        <w:tc>
          <w:tcPr>
            <w:tcW w:w="551" w:type="dxa"/>
            <w:tcBorders>
              <w:top w:val="nil"/>
              <w:left w:val="nil"/>
              <w:bottom w:val="single" w:sz="8" w:space="0" w:color="FFFFFF"/>
              <w:right w:val="nil"/>
            </w:tcBorders>
            <w:shd w:val="clear" w:color="auto" w:fill="0B769F" w:themeFill="accent4" w:themeFillShade="BF"/>
            <w:vAlign w:val="center"/>
          </w:tcPr>
          <w:p w14:paraId="46E8A4B4" w14:textId="77777777" w:rsidR="005868B1" w:rsidRPr="00367713" w:rsidRDefault="005868B1" w:rsidP="005868B1">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6603685A" w14:textId="77777777" w:rsidR="005868B1" w:rsidRPr="00367713" w:rsidRDefault="005868B1" w:rsidP="005868B1">
            <w:pPr>
              <w:spacing w:after="0"/>
              <w:jc w:val="left"/>
              <w:rPr>
                <w:rFonts w:cs="Calibri"/>
                <w:szCs w:val="22"/>
              </w:rPr>
            </w:pPr>
          </w:p>
        </w:tc>
      </w:tr>
      <w:tr w:rsidR="005868B1" w:rsidRPr="000408A8" w14:paraId="3722E278" w14:textId="77777777" w:rsidTr="00550A89">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4533EC75"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5.5</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74032156" w14:textId="6B4C3890" w:rsidR="005868B1" w:rsidRPr="00367713" w:rsidRDefault="005868B1" w:rsidP="005868B1">
            <w:pPr>
              <w:spacing w:after="0"/>
              <w:jc w:val="left"/>
              <w:rPr>
                <w:rFonts w:cs="Calibri"/>
                <w:szCs w:val="22"/>
              </w:rPr>
            </w:pPr>
            <w:r w:rsidRPr="00367713">
              <w:rPr>
                <w:rFonts w:cs="Calibri"/>
                <w:szCs w:val="22"/>
              </w:rPr>
              <w:t xml:space="preserve">If you support option E (an investor cap), how do you think that </w:t>
            </w:r>
            <w:r>
              <w:rPr>
                <w:rFonts w:cs="Calibri"/>
                <w:szCs w:val="22"/>
              </w:rPr>
              <w:t xml:space="preserve">could </w:t>
            </w:r>
            <w:r w:rsidRPr="00367713">
              <w:rPr>
                <w:rFonts w:cs="Calibri"/>
                <w:szCs w:val="22"/>
              </w:rPr>
              <w:t>be designed? Are there any other additional safeguards and retail investor protections you think should apply for larger raises?</w:t>
            </w:r>
          </w:p>
        </w:tc>
      </w:tr>
      <w:tr w:rsidR="005868B1" w:rsidRPr="000408A8" w14:paraId="41E64F53" w14:textId="77777777" w:rsidTr="00550A89">
        <w:trPr>
          <w:trHeight w:val="300"/>
        </w:trPr>
        <w:tc>
          <w:tcPr>
            <w:tcW w:w="551" w:type="dxa"/>
            <w:vMerge/>
            <w:tcBorders>
              <w:left w:val="nil"/>
              <w:bottom w:val="single" w:sz="8" w:space="0" w:color="FFFFFF"/>
              <w:right w:val="nil"/>
            </w:tcBorders>
            <w:shd w:val="clear" w:color="auto" w:fill="0B769F" w:themeFill="accent4" w:themeFillShade="BF"/>
            <w:vAlign w:val="center"/>
          </w:tcPr>
          <w:p w14:paraId="37F0F167" w14:textId="77777777" w:rsidR="005868B1" w:rsidRPr="00367713" w:rsidRDefault="005868B1" w:rsidP="005868B1">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3169C639" w14:textId="77777777" w:rsidR="005868B1" w:rsidRPr="00367713" w:rsidRDefault="005868B1" w:rsidP="005868B1">
            <w:pPr>
              <w:spacing w:after="0"/>
              <w:jc w:val="left"/>
              <w:rPr>
                <w:rFonts w:cs="Calibri"/>
                <w:szCs w:val="22"/>
              </w:rPr>
            </w:pPr>
          </w:p>
        </w:tc>
      </w:tr>
      <w:tr w:rsidR="005868B1" w:rsidRPr="000408A8" w14:paraId="34C3F715" w14:textId="77777777" w:rsidTr="005731B8">
        <w:trPr>
          <w:trHeight w:val="283"/>
        </w:trPr>
        <w:tc>
          <w:tcPr>
            <w:tcW w:w="551" w:type="dxa"/>
            <w:vMerge w:val="restart"/>
            <w:tcBorders>
              <w:top w:val="single" w:sz="8" w:space="0" w:color="FFFFFF"/>
              <w:left w:val="nil"/>
              <w:right w:val="nil"/>
            </w:tcBorders>
            <w:shd w:val="clear" w:color="auto" w:fill="0B769F" w:themeFill="accent4" w:themeFillShade="BF"/>
            <w:vAlign w:val="center"/>
          </w:tcPr>
          <w:p w14:paraId="5056E3BE" w14:textId="77777777" w:rsidR="005868B1" w:rsidRPr="00367713" w:rsidRDefault="005868B1" w:rsidP="005868B1">
            <w:pPr>
              <w:spacing w:after="0"/>
              <w:jc w:val="center"/>
              <w:rPr>
                <w:rFonts w:eastAsia="Calibri" w:cs="Calibri"/>
                <w:b/>
                <w:bCs/>
                <w:color w:val="FFFFFF"/>
                <w:szCs w:val="22"/>
                <w:lang w:eastAsia="ko-KR"/>
              </w:rPr>
            </w:pPr>
            <w:r w:rsidRPr="00367713">
              <w:rPr>
                <w:rFonts w:eastAsia="Calibri" w:cs="Calibri"/>
                <w:b/>
                <w:bCs/>
                <w:color w:val="FFFFFF"/>
                <w:szCs w:val="22"/>
                <w:lang w:eastAsia="ko-KR"/>
              </w:rPr>
              <w:t>5.6</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306BDB2C" w14:textId="77777777" w:rsidR="005868B1" w:rsidRPr="00367713" w:rsidRDefault="005868B1" w:rsidP="005868B1">
            <w:pPr>
              <w:spacing w:after="0"/>
              <w:jc w:val="left"/>
              <w:rPr>
                <w:rFonts w:cs="Calibri"/>
                <w:szCs w:val="22"/>
              </w:rPr>
            </w:pPr>
            <w:r w:rsidRPr="00367713">
              <w:rPr>
                <w:rFonts w:cs="Calibri"/>
                <w:szCs w:val="22"/>
              </w:rPr>
              <w:t>If the cap is raised, what flow-on impacts do you foresee on other capital markets?</w:t>
            </w:r>
          </w:p>
        </w:tc>
      </w:tr>
      <w:tr w:rsidR="005868B1" w:rsidRPr="000408A8" w14:paraId="0232D383" w14:textId="77777777" w:rsidTr="005731B8">
        <w:trPr>
          <w:trHeight w:val="283"/>
        </w:trPr>
        <w:tc>
          <w:tcPr>
            <w:tcW w:w="551" w:type="dxa"/>
            <w:vMerge/>
            <w:tcBorders>
              <w:left w:val="nil"/>
              <w:bottom w:val="single" w:sz="8" w:space="0" w:color="FFFFFF"/>
              <w:right w:val="nil"/>
            </w:tcBorders>
            <w:shd w:val="clear" w:color="auto" w:fill="0B769F" w:themeFill="accent4" w:themeFillShade="BF"/>
            <w:vAlign w:val="center"/>
          </w:tcPr>
          <w:p w14:paraId="1BBCBF9E" w14:textId="77777777" w:rsidR="005868B1" w:rsidRPr="00367713" w:rsidRDefault="005868B1" w:rsidP="005868B1">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330FDA34" w14:textId="77777777" w:rsidR="005868B1" w:rsidRPr="00367713" w:rsidRDefault="005868B1" w:rsidP="005868B1">
            <w:pPr>
              <w:spacing w:after="0"/>
              <w:jc w:val="left"/>
              <w:rPr>
                <w:rFonts w:cs="Calibri"/>
                <w:szCs w:val="22"/>
              </w:rPr>
            </w:pPr>
          </w:p>
        </w:tc>
      </w:tr>
      <w:tr w:rsidR="008C7D2D" w:rsidRPr="000408A8" w14:paraId="523051C4" w14:textId="77777777" w:rsidTr="008C7D2D">
        <w:trPr>
          <w:trHeight w:val="283"/>
        </w:trPr>
        <w:tc>
          <w:tcPr>
            <w:tcW w:w="551" w:type="dxa"/>
            <w:vMerge w:val="restart"/>
            <w:tcBorders>
              <w:left w:val="nil"/>
              <w:right w:val="nil"/>
            </w:tcBorders>
            <w:shd w:val="clear" w:color="auto" w:fill="0B769F" w:themeFill="accent4" w:themeFillShade="BF"/>
            <w:vAlign w:val="center"/>
          </w:tcPr>
          <w:p w14:paraId="22ED81F4" w14:textId="728254D8" w:rsidR="008C7D2D" w:rsidRPr="00367713" w:rsidRDefault="008C7D2D" w:rsidP="005868B1">
            <w:pPr>
              <w:spacing w:after="0"/>
              <w:jc w:val="center"/>
              <w:rPr>
                <w:rFonts w:eastAsia="Calibri" w:cs="Calibri"/>
                <w:b/>
                <w:bCs/>
                <w:color w:val="FFFFFF"/>
                <w:szCs w:val="22"/>
                <w:lang w:eastAsia="ko-KR"/>
              </w:rPr>
            </w:pPr>
            <w:r>
              <w:rPr>
                <w:rFonts w:eastAsia="Calibri" w:cs="Calibri"/>
                <w:b/>
                <w:bCs/>
                <w:color w:val="FFFFFF"/>
                <w:szCs w:val="22"/>
                <w:lang w:eastAsia="ko-KR"/>
              </w:rPr>
              <w:t>5.7</w:t>
            </w:r>
          </w:p>
        </w:tc>
        <w:tc>
          <w:tcPr>
            <w:tcW w:w="9655" w:type="dxa"/>
            <w:tcBorders>
              <w:top w:val="single" w:sz="4" w:space="0" w:color="auto"/>
              <w:left w:val="nil"/>
              <w:bottom w:val="single" w:sz="4" w:space="0" w:color="auto"/>
              <w:right w:val="single" w:sz="4" w:space="0" w:color="auto"/>
            </w:tcBorders>
            <w:shd w:val="clear" w:color="auto" w:fill="DFF4FD"/>
            <w:vAlign w:val="center"/>
          </w:tcPr>
          <w:p w14:paraId="0C9F313B" w14:textId="4041FB42" w:rsidR="008C7D2D" w:rsidRPr="00367713" w:rsidRDefault="008C7D2D" w:rsidP="005868B1">
            <w:pPr>
              <w:spacing w:after="0"/>
              <w:jc w:val="left"/>
              <w:rPr>
                <w:rFonts w:cs="Calibri"/>
                <w:szCs w:val="22"/>
              </w:rPr>
            </w:pPr>
            <w:r w:rsidRPr="00367713">
              <w:rPr>
                <w:rFonts w:cs="Calibri"/>
                <w:szCs w:val="22"/>
              </w:rPr>
              <w:t>Please share any other comments, evidence or data you have on equity crowdfunding, P2P lending and ‘small offers’.</w:t>
            </w:r>
          </w:p>
        </w:tc>
      </w:tr>
      <w:tr w:rsidR="008C7D2D" w:rsidRPr="000408A8" w14:paraId="2D490563" w14:textId="77777777" w:rsidTr="005731B8">
        <w:trPr>
          <w:trHeight w:val="283"/>
        </w:trPr>
        <w:tc>
          <w:tcPr>
            <w:tcW w:w="551" w:type="dxa"/>
            <w:vMerge/>
            <w:tcBorders>
              <w:left w:val="nil"/>
              <w:bottom w:val="single" w:sz="8" w:space="0" w:color="FFFFFF"/>
              <w:right w:val="nil"/>
            </w:tcBorders>
            <w:shd w:val="clear" w:color="auto" w:fill="0B769F" w:themeFill="accent4" w:themeFillShade="BF"/>
            <w:vAlign w:val="center"/>
          </w:tcPr>
          <w:p w14:paraId="08664A87" w14:textId="77777777" w:rsidR="008C7D2D" w:rsidRPr="00367713" w:rsidRDefault="008C7D2D" w:rsidP="005868B1">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5745D6A9" w14:textId="77777777" w:rsidR="008C7D2D" w:rsidRPr="00367713" w:rsidRDefault="008C7D2D" w:rsidP="005868B1">
            <w:pPr>
              <w:spacing w:after="0"/>
              <w:jc w:val="left"/>
              <w:rPr>
                <w:rFonts w:cs="Calibri"/>
                <w:szCs w:val="22"/>
              </w:rPr>
            </w:pPr>
          </w:p>
        </w:tc>
      </w:tr>
      <w:tr w:rsidR="008C7D2D" w:rsidRPr="000408A8" w14:paraId="63CE5D5C" w14:textId="77777777" w:rsidTr="00207FBB">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5CEAC123" w14:textId="033B4ED1"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5.</w:t>
            </w:r>
            <w:r>
              <w:rPr>
                <w:rFonts w:eastAsia="Calibri" w:cs="Calibri"/>
                <w:b/>
                <w:bCs/>
                <w:color w:val="FFFFFF"/>
                <w:szCs w:val="22"/>
                <w:lang w:eastAsia="ko-KR"/>
              </w:rPr>
              <w:t>8</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350033C2" w14:textId="750E1FF8" w:rsidR="008C7D2D" w:rsidRPr="008C7D2D" w:rsidRDefault="008C7D2D" w:rsidP="008C7D2D">
            <w:pPr>
              <w:spacing w:after="0"/>
              <w:jc w:val="left"/>
              <w:rPr>
                <w:rFonts w:cs="Calibri"/>
                <w:szCs w:val="22"/>
              </w:rPr>
            </w:pPr>
            <w:r w:rsidRPr="008C7D2D">
              <w:rPr>
                <w:rFonts w:cs="Calibri"/>
                <w:szCs w:val="22"/>
              </w:rPr>
              <w:t>Are there overseas models you think the government should consider?</w:t>
            </w:r>
          </w:p>
        </w:tc>
      </w:tr>
      <w:tr w:rsidR="008C7D2D" w:rsidRPr="000408A8" w14:paraId="2DC51D58" w14:textId="77777777" w:rsidTr="00207FBB">
        <w:trPr>
          <w:trHeight w:val="300"/>
        </w:trPr>
        <w:tc>
          <w:tcPr>
            <w:tcW w:w="551" w:type="dxa"/>
            <w:vMerge/>
            <w:tcBorders>
              <w:left w:val="nil"/>
              <w:bottom w:val="single" w:sz="8" w:space="0" w:color="FFFFFF"/>
              <w:right w:val="nil"/>
            </w:tcBorders>
            <w:shd w:val="clear" w:color="auto" w:fill="0B769F" w:themeFill="accent4" w:themeFillShade="BF"/>
            <w:vAlign w:val="center"/>
          </w:tcPr>
          <w:p w14:paraId="4B3D239C"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038C05BF" w14:textId="77777777" w:rsidR="008C7D2D" w:rsidRPr="00367713" w:rsidRDefault="008C7D2D" w:rsidP="008C7D2D">
            <w:pPr>
              <w:spacing w:after="0"/>
              <w:jc w:val="left"/>
              <w:rPr>
                <w:rFonts w:cs="Calibri"/>
                <w:szCs w:val="22"/>
              </w:rPr>
            </w:pPr>
          </w:p>
        </w:tc>
      </w:tr>
      <w:tr w:rsidR="008C7D2D" w:rsidRPr="00B84282" w14:paraId="05E7B283" w14:textId="77777777" w:rsidTr="00511869">
        <w:trPr>
          <w:trHeight w:val="567"/>
        </w:trPr>
        <w:tc>
          <w:tcPr>
            <w:tcW w:w="10206" w:type="dxa"/>
            <w:gridSpan w:val="2"/>
            <w:tcBorders>
              <w:top w:val="single" w:sz="8" w:space="0" w:color="FFFFFF"/>
              <w:left w:val="nil"/>
              <w:bottom w:val="single" w:sz="8" w:space="0" w:color="FFFFFF"/>
              <w:right w:val="single" w:sz="4" w:space="0" w:color="auto"/>
            </w:tcBorders>
            <w:shd w:val="clear" w:color="auto" w:fill="215E99" w:themeFill="text2" w:themeFillTint="BF"/>
            <w:vAlign w:val="center"/>
          </w:tcPr>
          <w:p w14:paraId="7EE081FD" w14:textId="093A8E38" w:rsidR="008C7D2D" w:rsidRPr="00B84282" w:rsidRDefault="008C7D2D" w:rsidP="008C7D2D">
            <w:pPr>
              <w:spacing w:after="0"/>
              <w:jc w:val="left"/>
              <w:rPr>
                <w:b/>
                <w:bCs/>
                <w:szCs w:val="22"/>
              </w:rPr>
            </w:pPr>
            <w:r>
              <w:rPr>
                <w:rFonts w:cs="Calibri"/>
                <w:b/>
                <w:bCs/>
                <w:color w:val="FFFFFF" w:themeColor="background1"/>
                <w:sz w:val="24"/>
              </w:rPr>
              <w:t xml:space="preserve">6.    </w:t>
            </w:r>
            <w:r w:rsidRPr="00A83A3B">
              <w:rPr>
                <w:rFonts w:cs="Calibri"/>
                <w:b/>
                <w:bCs/>
                <w:color w:val="FFFFFF" w:themeColor="background1"/>
                <w:sz w:val="24"/>
              </w:rPr>
              <w:t>Wholesale investor issues</w:t>
            </w:r>
          </w:p>
        </w:tc>
      </w:tr>
      <w:tr w:rsidR="008C7D2D" w:rsidRPr="00115582" w14:paraId="752F9F67"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24B7F8C6"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6.1</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0CF8BB6" w14:textId="77777777" w:rsidR="008C7D2D" w:rsidRPr="00367713" w:rsidRDefault="008C7D2D" w:rsidP="008C7D2D">
            <w:pPr>
              <w:spacing w:after="0"/>
              <w:jc w:val="left"/>
              <w:rPr>
                <w:szCs w:val="22"/>
              </w:rPr>
            </w:pPr>
            <w:r w:rsidRPr="00367713">
              <w:rPr>
                <w:szCs w:val="22"/>
              </w:rPr>
              <w:t>Do you have any evidence or experience of difficulties around the use of the eligible investor self-certification, or misuse of the self-certification approach? Please provide detail.</w:t>
            </w:r>
          </w:p>
        </w:tc>
      </w:tr>
      <w:tr w:rsidR="008C7D2D" w:rsidRPr="00115582" w14:paraId="2CA0D99D" w14:textId="77777777" w:rsidTr="0063487B">
        <w:trPr>
          <w:trHeight w:val="300"/>
        </w:trPr>
        <w:tc>
          <w:tcPr>
            <w:tcW w:w="551" w:type="dxa"/>
            <w:vMerge/>
            <w:tcBorders>
              <w:left w:val="nil"/>
              <w:bottom w:val="single" w:sz="8" w:space="0" w:color="FFFFFF"/>
              <w:right w:val="nil"/>
            </w:tcBorders>
            <w:shd w:val="clear" w:color="auto" w:fill="215E99" w:themeFill="text2" w:themeFillTint="BF"/>
            <w:vAlign w:val="center"/>
          </w:tcPr>
          <w:p w14:paraId="6AC823CD"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1B126B08" w14:textId="77777777" w:rsidR="008C7D2D" w:rsidRPr="00367713" w:rsidRDefault="008C7D2D" w:rsidP="008C7D2D">
            <w:pPr>
              <w:spacing w:after="0"/>
              <w:jc w:val="left"/>
              <w:rPr>
                <w:szCs w:val="22"/>
              </w:rPr>
            </w:pPr>
          </w:p>
        </w:tc>
      </w:tr>
      <w:tr w:rsidR="008C7D2D" w:rsidRPr="00115582" w14:paraId="68039F9A"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3F032DE6"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6.2</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7804B794" w14:textId="77777777" w:rsidR="008C7D2D" w:rsidRPr="00367713" w:rsidRDefault="008C7D2D" w:rsidP="008C7D2D">
            <w:pPr>
              <w:spacing w:after="0"/>
              <w:jc w:val="left"/>
              <w:rPr>
                <w:szCs w:val="22"/>
              </w:rPr>
            </w:pPr>
            <w:r w:rsidRPr="00367713">
              <w:rPr>
                <w:szCs w:val="22"/>
              </w:rPr>
              <w:t xml:space="preserve">Do you consider that the wholesale investor regulatory framework provides adequate retail investor protections? Or do you consider that it presents a barrier to investment? </w:t>
            </w:r>
          </w:p>
        </w:tc>
      </w:tr>
      <w:tr w:rsidR="008C7D2D" w:rsidRPr="00115582" w14:paraId="259D3979" w14:textId="77777777" w:rsidTr="00A65C2F">
        <w:trPr>
          <w:trHeight w:val="300"/>
        </w:trPr>
        <w:tc>
          <w:tcPr>
            <w:tcW w:w="551" w:type="dxa"/>
            <w:vMerge/>
            <w:tcBorders>
              <w:left w:val="nil"/>
              <w:bottom w:val="single" w:sz="8" w:space="0" w:color="FFFFFF"/>
              <w:right w:val="nil"/>
            </w:tcBorders>
            <w:shd w:val="clear" w:color="auto" w:fill="215E99" w:themeFill="text2" w:themeFillTint="BF"/>
            <w:vAlign w:val="center"/>
          </w:tcPr>
          <w:p w14:paraId="11C83D44"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9E30756" w14:textId="77777777" w:rsidR="008C7D2D" w:rsidRPr="00367713" w:rsidRDefault="008C7D2D" w:rsidP="008C7D2D">
            <w:pPr>
              <w:spacing w:after="0"/>
              <w:jc w:val="left"/>
              <w:rPr>
                <w:szCs w:val="22"/>
              </w:rPr>
            </w:pPr>
          </w:p>
        </w:tc>
      </w:tr>
      <w:tr w:rsidR="008C7D2D" w:rsidRPr="00115582" w14:paraId="5EF2F307"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6E0EB414"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6.3</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51F5B00" w14:textId="3AE532AF" w:rsidR="008C7D2D" w:rsidRPr="00367713" w:rsidRDefault="008C7D2D" w:rsidP="008C7D2D">
            <w:pPr>
              <w:spacing w:after="0"/>
              <w:jc w:val="left"/>
              <w:rPr>
                <w:szCs w:val="22"/>
              </w:rPr>
            </w:pPr>
            <w:r w:rsidRPr="00367713">
              <w:rPr>
                <w:szCs w:val="22"/>
              </w:rPr>
              <w:t xml:space="preserve">Which option for change in relation to the wholesale eligible investor certification would you support (noting that the options are not mutually exclusive). </w:t>
            </w:r>
          </w:p>
        </w:tc>
      </w:tr>
      <w:tr w:rsidR="008C7D2D" w:rsidRPr="00115582" w14:paraId="5E4825B0" w14:textId="77777777" w:rsidTr="00802A97">
        <w:trPr>
          <w:trHeight w:val="300"/>
        </w:trPr>
        <w:tc>
          <w:tcPr>
            <w:tcW w:w="551" w:type="dxa"/>
            <w:vMerge/>
            <w:tcBorders>
              <w:left w:val="nil"/>
              <w:bottom w:val="single" w:sz="8" w:space="0" w:color="FFFFFF"/>
              <w:right w:val="nil"/>
            </w:tcBorders>
            <w:shd w:val="clear" w:color="auto" w:fill="215E99" w:themeFill="text2" w:themeFillTint="BF"/>
            <w:vAlign w:val="center"/>
          </w:tcPr>
          <w:p w14:paraId="54BDF478"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16588DE4" w14:textId="77777777" w:rsidR="008C7D2D" w:rsidRPr="00367713" w:rsidRDefault="008C7D2D" w:rsidP="008C7D2D">
            <w:pPr>
              <w:spacing w:after="0"/>
              <w:jc w:val="left"/>
              <w:rPr>
                <w:szCs w:val="22"/>
              </w:rPr>
            </w:pPr>
          </w:p>
        </w:tc>
      </w:tr>
      <w:tr w:rsidR="008C7D2D" w:rsidRPr="00115582" w14:paraId="34935B60"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29624031"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6.4</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394559D0" w14:textId="77777777" w:rsidR="008C7D2D" w:rsidRPr="00367713" w:rsidRDefault="008C7D2D" w:rsidP="008C7D2D">
            <w:pPr>
              <w:spacing w:after="0"/>
              <w:jc w:val="left"/>
              <w:rPr>
                <w:szCs w:val="22"/>
              </w:rPr>
            </w:pPr>
            <w:r w:rsidRPr="00367713">
              <w:rPr>
                <w:szCs w:val="22"/>
              </w:rPr>
              <w:t>Which option do you prefer in relation to the period of validity for eligible investor certificates (currently 2 years)?</w:t>
            </w:r>
          </w:p>
        </w:tc>
      </w:tr>
      <w:tr w:rsidR="008C7D2D" w:rsidRPr="00115582" w14:paraId="08ECFE42" w14:textId="77777777" w:rsidTr="00B43A3D">
        <w:trPr>
          <w:trHeight w:val="300"/>
        </w:trPr>
        <w:tc>
          <w:tcPr>
            <w:tcW w:w="551" w:type="dxa"/>
            <w:vMerge/>
            <w:tcBorders>
              <w:left w:val="nil"/>
              <w:bottom w:val="single" w:sz="8" w:space="0" w:color="FFFFFF"/>
              <w:right w:val="nil"/>
            </w:tcBorders>
            <w:shd w:val="clear" w:color="auto" w:fill="215E99" w:themeFill="text2" w:themeFillTint="BF"/>
            <w:vAlign w:val="center"/>
          </w:tcPr>
          <w:p w14:paraId="5650C70E"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73F13E39" w14:textId="77777777" w:rsidR="008C7D2D" w:rsidRPr="00367713" w:rsidRDefault="008C7D2D" w:rsidP="008C7D2D">
            <w:pPr>
              <w:spacing w:after="0"/>
              <w:jc w:val="left"/>
              <w:rPr>
                <w:szCs w:val="22"/>
              </w:rPr>
            </w:pPr>
          </w:p>
        </w:tc>
      </w:tr>
      <w:tr w:rsidR="008C7D2D" w:rsidRPr="00115582" w14:paraId="7D738A3F"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4255169"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6.5</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76B0F352" w14:textId="77777777" w:rsidR="008C7D2D" w:rsidRPr="00367713" w:rsidRDefault="008C7D2D" w:rsidP="008C7D2D">
            <w:pPr>
              <w:spacing w:after="0"/>
              <w:jc w:val="left"/>
              <w:rPr>
                <w:szCs w:val="22"/>
              </w:rPr>
            </w:pPr>
            <w:r w:rsidRPr="00367713">
              <w:rPr>
                <w:szCs w:val="22"/>
              </w:rPr>
              <w:t>Do you have any evidence or experience of concerning behaviours with the advertising of wholesale offers? What recommendations do you have for restricting this promotion?</w:t>
            </w:r>
          </w:p>
        </w:tc>
      </w:tr>
      <w:tr w:rsidR="008C7D2D" w:rsidRPr="00115582" w14:paraId="026853C0" w14:textId="77777777" w:rsidTr="00DF621B">
        <w:trPr>
          <w:trHeight w:val="300"/>
        </w:trPr>
        <w:tc>
          <w:tcPr>
            <w:tcW w:w="551" w:type="dxa"/>
            <w:vMerge/>
            <w:tcBorders>
              <w:left w:val="nil"/>
              <w:bottom w:val="single" w:sz="8" w:space="0" w:color="FFFFFF"/>
              <w:right w:val="nil"/>
            </w:tcBorders>
            <w:shd w:val="clear" w:color="auto" w:fill="215E99" w:themeFill="text2" w:themeFillTint="BF"/>
            <w:vAlign w:val="center"/>
          </w:tcPr>
          <w:p w14:paraId="3B626972"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9740172" w14:textId="77777777" w:rsidR="008C7D2D" w:rsidRPr="00367713" w:rsidRDefault="008C7D2D" w:rsidP="008C7D2D">
            <w:pPr>
              <w:spacing w:after="0"/>
              <w:jc w:val="left"/>
              <w:rPr>
                <w:szCs w:val="22"/>
              </w:rPr>
            </w:pPr>
          </w:p>
        </w:tc>
      </w:tr>
      <w:tr w:rsidR="008C7D2D" w:rsidRPr="00115582" w14:paraId="41849813"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548B7DA9"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6.6</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6609018" w14:textId="77777777" w:rsidR="008C7D2D" w:rsidRPr="00367713" w:rsidRDefault="008C7D2D" w:rsidP="008C7D2D">
            <w:pPr>
              <w:spacing w:after="0"/>
              <w:jc w:val="left"/>
              <w:rPr>
                <w:szCs w:val="22"/>
              </w:rPr>
            </w:pPr>
            <w:r w:rsidRPr="00367713">
              <w:rPr>
                <w:szCs w:val="22"/>
              </w:rPr>
              <w:t>Do you have concerns with other aspects of the wholesale regime (beyond eligible investor category and the promotion issues raised)? Do you think the $750,000 threshold for individual investment remains appropriate, or should it be adjusted?</w:t>
            </w:r>
          </w:p>
        </w:tc>
      </w:tr>
      <w:tr w:rsidR="008C7D2D" w:rsidRPr="00115582" w14:paraId="0B7E4822" w14:textId="77777777" w:rsidTr="00352ACE">
        <w:trPr>
          <w:trHeight w:val="300"/>
        </w:trPr>
        <w:tc>
          <w:tcPr>
            <w:tcW w:w="551" w:type="dxa"/>
            <w:vMerge/>
            <w:tcBorders>
              <w:left w:val="nil"/>
              <w:bottom w:val="single" w:sz="8" w:space="0" w:color="FFFFFF"/>
              <w:right w:val="nil"/>
            </w:tcBorders>
            <w:shd w:val="clear" w:color="auto" w:fill="215E99" w:themeFill="text2" w:themeFillTint="BF"/>
            <w:vAlign w:val="center"/>
          </w:tcPr>
          <w:p w14:paraId="0D2BEC27"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690F5009" w14:textId="77777777" w:rsidR="008C7D2D" w:rsidRPr="00367713" w:rsidRDefault="008C7D2D" w:rsidP="008C7D2D">
            <w:pPr>
              <w:spacing w:after="0"/>
              <w:jc w:val="left"/>
              <w:rPr>
                <w:szCs w:val="22"/>
              </w:rPr>
            </w:pPr>
          </w:p>
        </w:tc>
      </w:tr>
      <w:tr w:rsidR="008C7D2D" w:rsidRPr="00115582" w14:paraId="179C1D6D" w14:textId="77777777" w:rsidTr="005868B1">
        <w:trPr>
          <w:trHeight w:val="300"/>
        </w:trPr>
        <w:tc>
          <w:tcPr>
            <w:tcW w:w="551" w:type="dxa"/>
            <w:vMerge w:val="restart"/>
            <w:tcBorders>
              <w:top w:val="single" w:sz="8" w:space="0" w:color="FFFFFF"/>
              <w:left w:val="nil"/>
              <w:right w:val="nil"/>
            </w:tcBorders>
            <w:shd w:val="clear" w:color="auto" w:fill="215E99" w:themeFill="text2" w:themeFillTint="BF"/>
            <w:vAlign w:val="center"/>
          </w:tcPr>
          <w:p w14:paraId="16CAE2F4"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6.7</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0715A26" w14:textId="77777777" w:rsidR="008C7D2D" w:rsidRPr="00367713" w:rsidRDefault="008C7D2D" w:rsidP="008C7D2D">
            <w:pPr>
              <w:spacing w:after="0"/>
              <w:jc w:val="left"/>
              <w:rPr>
                <w:szCs w:val="22"/>
              </w:rPr>
            </w:pPr>
            <w:r w:rsidRPr="00367713">
              <w:rPr>
                <w:szCs w:val="22"/>
              </w:rPr>
              <w:t>Please share any other comments, evidence or data you may have on wholesale settings.</w:t>
            </w:r>
          </w:p>
        </w:tc>
      </w:tr>
      <w:tr w:rsidR="008C7D2D" w:rsidRPr="00115582" w14:paraId="665428A8" w14:textId="77777777" w:rsidTr="002B608E">
        <w:trPr>
          <w:trHeight w:val="300"/>
        </w:trPr>
        <w:tc>
          <w:tcPr>
            <w:tcW w:w="551" w:type="dxa"/>
            <w:vMerge/>
            <w:tcBorders>
              <w:left w:val="nil"/>
              <w:bottom w:val="single" w:sz="8" w:space="0" w:color="FFFFFF"/>
              <w:right w:val="nil"/>
            </w:tcBorders>
            <w:shd w:val="clear" w:color="auto" w:fill="215E99" w:themeFill="text2" w:themeFillTint="BF"/>
            <w:vAlign w:val="center"/>
          </w:tcPr>
          <w:p w14:paraId="311F68BC"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1D01BA48" w14:textId="77777777" w:rsidR="008C7D2D" w:rsidRPr="00367713" w:rsidRDefault="008C7D2D" w:rsidP="008C7D2D">
            <w:pPr>
              <w:spacing w:after="0"/>
              <w:jc w:val="left"/>
              <w:rPr>
                <w:szCs w:val="22"/>
              </w:rPr>
            </w:pPr>
          </w:p>
        </w:tc>
      </w:tr>
      <w:tr w:rsidR="008C7D2D" w:rsidRPr="00115582" w14:paraId="35D8F2F1" w14:textId="77777777" w:rsidTr="00511869">
        <w:trPr>
          <w:trHeight w:val="567"/>
        </w:trPr>
        <w:tc>
          <w:tcPr>
            <w:tcW w:w="10206" w:type="dxa"/>
            <w:gridSpan w:val="2"/>
            <w:tcBorders>
              <w:top w:val="single" w:sz="8" w:space="0" w:color="FFFFFF"/>
              <w:left w:val="nil"/>
              <w:bottom w:val="single" w:sz="8" w:space="0" w:color="FFFFFF"/>
              <w:right w:val="single" w:sz="4" w:space="0" w:color="auto"/>
            </w:tcBorders>
            <w:shd w:val="clear" w:color="auto" w:fill="0B769F" w:themeFill="accent4" w:themeFillShade="BF"/>
            <w:vAlign w:val="center"/>
          </w:tcPr>
          <w:p w14:paraId="5B21AC39" w14:textId="416C4767" w:rsidR="008C7D2D" w:rsidRPr="00115582" w:rsidRDefault="008C7D2D" w:rsidP="008C7D2D">
            <w:pPr>
              <w:spacing w:after="0"/>
              <w:jc w:val="left"/>
              <w:rPr>
                <w:b/>
                <w:bCs/>
                <w:szCs w:val="22"/>
              </w:rPr>
            </w:pPr>
            <w:r>
              <w:rPr>
                <w:rFonts w:cs="Calibri"/>
                <w:b/>
                <w:bCs/>
                <w:color w:val="FFFFFF" w:themeColor="background1"/>
                <w:sz w:val="24"/>
              </w:rPr>
              <w:t xml:space="preserve">7.    </w:t>
            </w:r>
            <w:r w:rsidRPr="00A83A3B">
              <w:rPr>
                <w:rFonts w:cs="Calibri"/>
                <w:b/>
                <w:bCs/>
                <w:color w:val="FFFFFF" w:themeColor="background1"/>
                <w:sz w:val="24"/>
              </w:rPr>
              <w:t>Auditor liability</w:t>
            </w:r>
          </w:p>
        </w:tc>
      </w:tr>
      <w:tr w:rsidR="008C7D2D" w:rsidRPr="00115582" w14:paraId="170D1D10" w14:textId="77777777" w:rsidTr="008B51DC">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5EECDCD1"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7.1</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3FE032E4" w14:textId="77777777" w:rsidR="008C7D2D" w:rsidRPr="00367713" w:rsidRDefault="008C7D2D" w:rsidP="008C7D2D">
            <w:pPr>
              <w:spacing w:after="0"/>
              <w:jc w:val="left"/>
              <w:rPr>
                <w:szCs w:val="22"/>
              </w:rPr>
            </w:pPr>
            <w:r w:rsidRPr="00367713">
              <w:rPr>
                <w:rFonts w:cs="Calibri"/>
                <w:szCs w:val="22"/>
              </w:rPr>
              <w:t>Do you agree with the scope of this issue as outlined above (ie, limiting consideration to FMC audits and civil liability for unintentional wrongdoing)? If not, what else do you think should be considered?</w:t>
            </w:r>
          </w:p>
        </w:tc>
      </w:tr>
      <w:tr w:rsidR="008C7D2D" w:rsidRPr="00115582" w14:paraId="0C36707A" w14:textId="77777777" w:rsidTr="008B51DC">
        <w:trPr>
          <w:trHeight w:val="300"/>
        </w:trPr>
        <w:tc>
          <w:tcPr>
            <w:tcW w:w="551" w:type="dxa"/>
            <w:vMerge/>
            <w:tcBorders>
              <w:left w:val="nil"/>
              <w:bottom w:val="single" w:sz="4" w:space="0" w:color="FFFFFF" w:themeColor="background1"/>
              <w:right w:val="nil"/>
            </w:tcBorders>
            <w:shd w:val="clear" w:color="auto" w:fill="0B769F" w:themeFill="accent4" w:themeFillShade="BF"/>
            <w:vAlign w:val="center"/>
          </w:tcPr>
          <w:p w14:paraId="4A1EBD7D"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18583D5A" w14:textId="77777777" w:rsidR="008C7D2D" w:rsidRPr="00367713" w:rsidRDefault="008C7D2D" w:rsidP="008C7D2D">
            <w:pPr>
              <w:spacing w:after="0"/>
              <w:jc w:val="left"/>
              <w:rPr>
                <w:rFonts w:cs="Calibri"/>
                <w:szCs w:val="22"/>
              </w:rPr>
            </w:pPr>
          </w:p>
        </w:tc>
      </w:tr>
      <w:tr w:rsidR="008C7D2D" w:rsidRPr="00115582" w14:paraId="09C81D72" w14:textId="77777777" w:rsidTr="00F457BE">
        <w:trPr>
          <w:trHeight w:val="300"/>
        </w:trPr>
        <w:tc>
          <w:tcPr>
            <w:tcW w:w="551" w:type="dxa"/>
            <w:vMerge w:val="restart"/>
            <w:tcBorders>
              <w:top w:val="single" w:sz="4" w:space="0" w:color="FFFFFF" w:themeColor="background1"/>
              <w:left w:val="nil"/>
              <w:right w:val="nil"/>
            </w:tcBorders>
            <w:shd w:val="clear" w:color="auto" w:fill="0B769F" w:themeFill="accent4" w:themeFillShade="BF"/>
            <w:vAlign w:val="center"/>
          </w:tcPr>
          <w:p w14:paraId="6D20A62F"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7.2</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18943BD5" w14:textId="77777777" w:rsidR="008C7D2D" w:rsidRPr="00367713" w:rsidRDefault="008C7D2D" w:rsidP="008C7D2D">
            <w:pPr>
              <w:spacing w:after="0"/>
              <w:jc w:val="left"/>
              <w:rPr>
                <w:szCs w:val="22"/>
              </w:rPr>
            </w:pPr>
            <w:r w:rsidRPr="00367713">
              <w:rPr>
                <w:rFonts w:cs="Calibri"/>
                <w:szCs w:val="22"/>
              </w:rPr>
              <w:t>Do you agree with how the problem definition is summarised above? Please provide additional information and detail if you think this needs to be refined.</w:t>
            </w:r>
          </w:p>
        </w:tc>
      </w:tr>
      <w:tr w:rsidR="008C7D2D" w:rsidRPr="00115582" w14:paraId="514C1AA4" w14:textId="77777777" w:rsidTr="00F457BE">
        <w:trPr>
          <w:trHeight w:val="300"/>
        </w:trPr>
        <w:tc>
          <w:tcPr>
            <w:tcW w:w="551" w:type="dxa"/>
            <w:vMerge/>
            <w:tcBorders>
              <w:left w:val="nil"/>
              <w:bottom w:val="single" w:sz="8" w:space="0" w:color="FFFFFF"/>
              <w:right w:val="nil"/>
            </w:tcBorders>
            <w:shd w:val="clear" w:color="auto" w:fill="0B769F" w:themeFill="accent4" w:themeFillShade="BF"/>
            <w:vAlign w:val="center"/>
          </w:tcPr>
          <w:p w14:paraId="19E0C886"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5F797360" w14:textId="77777777" w:rsidR="008C7D2D" w:rsidRPr="00367713" w:rsidRDefault="008C7D2D" w:rsidP="008C7D2D">
            <w:pPr>
              <w:spacing w:after="0"/>
              <w:jc w:val="left"/>
              <w:rPr>
                <w:rFonts w:cs="Calibri"/>
                <w:szCs w:val="22"/>
              </w:rPr>
            </w:pPr>
          </w:p>
        </w:tc>
      </w:tr>
      <w:tr w:rsidR="008C7D2D" w:rsidRPr="00115582" w14:paraId="2F6AC30E" w14:textId="77777777" w:rsidTr="00EA3FE9">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5D1E4154"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7.3</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6CBD2614" w14:textId="77777777" w:rsidR="008C7D2D" w:rsidRPr="00367713" w:rsidRDefault="008C7D2D" w:rsidP="008C7D2D">
            <w:pPr>
              <w:spacing w:after="0"/>
              <w:jc w:val="left"/>
              <w:rPr>
                <w:szCs w:val="22"/>
              </w:rPr>
            </w:pPr>
            <w:r w:rsidRPr="00367713">
              <w:rPr>
                <w:rFonts w:cs="Calibri"/>
                <w:szCs w:val="22"/>
              </w:rPr>
              <w:t>The problem definition discussion above lists a number of issues that it is contended are faced by the audit market in New Zealand. Do you agree with these? Are there other issues we should consider? To what extent are these issues caused by the liability exposure of auditors? Are there other factors that are causing these? Please provide concrete evidence and data to support your response where possible.</w:t>
            </w:r>
          </w:p>
        </w:tc>
      </w:tr>
      <w:tr w:rsidR="008C7D2D" w:rsidRPr="00115582" w14:paraId="695D0C8D" w14:textId="77777777" w:rsidTr="00EA3FE9">
        <w:trPr>
          <w:trHeight w:val="300"/>
        </w:trPr>
        <w:tc>
          <w:tcPr>
            <w:tcW w:w="551" w:type="dxa"/>
            <w:vMerge/>
            <w:tcBorders>
              <w:left w:val="nil"/>
              <w:bottom w:val="single" w:sz="8" w:space="0" w:color="FFFFFF"/>
              <w:right w:val="nil"/>
            </w:tcBorders>
            <w:shd w:val="clear" w:color="auto" w:fill="0B769F" w:themeFill="accent4" w:themeFillShade="BF"/>
            <w:vAlign w:val="center"/>
          </w:tcPr>
          <w:p w14:paraId="649D244B"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7B8646F5" w14:textId="77777777" w:rsidR="008C7D2D" w:rsidRPr="00367713" w:rsidRDefault="008C7D2D" w:rsidP="008C7D2D">
            <w:pPr>
              <w:spacing w:after="0"/>
              <w:jc w:val="left"/>
              <w:rPr>
                <w:rFonts w:cs="Calibri"/>
                <w:szCs w:val="22"/>
              </w:rPr>
            </w:pPr>
          </w:p>
        </w:tc>
      </w:tr>
      <w:tr w:rsidR="008C7D2D" w:rsidRPr="00115582" w14:paraId="634172C2" w14:textId="77777777" w:rsidTr="00E768D6">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2DC9B83E"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7.4</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2EADF94B" w14:textId="77777777" w:rsidR="008C7D2D" w:rsidRPr="00367713" w:rsidRDefault="008C7D2D" w:rsidP="008C7D2D">
            <w:pPr>
              <w:spacing w:after="0"/>
              <w:jc w:val="left"/>
              <w:rPr>
                <w:szCs w:val="22"/>
              </w:rPr>
            </w:pPr>
            <w:r w:rsidRPr="00367713">
              <w:rPr>
                <w:rFonts w:cs="Calibri"/>
                <w:szCs w:val="22"/>
              </w:rPr>
              <w:t>Do you agree with how the options are summarised above? Are there other options we haven’t considered? Please provide additional information and detail if you think these need to be refined.</w:t>
            </w:r>
          </w:p>
        </w:tc>
      </w:tr>
      <w:tr w:rsidR="008C7D2D" w:rsidRPr="00115582" w14:paraId="0D75A6A1" w14:textId="77777777" w:rsidTr="00E768D6">
        <w:trPr>
          <w:trHeight w:val="300"/>
        </w:trPr>
        <w:tc>
          <w:tcPr>
            <w:tcW w:w="551" w:type="dxa"/>
            <w:vMerge/>
            <w:tcBorders>
              <w:left w:val="nil"/>
              <w:bottom w:val="single" w:sz="8" w:space="0" w:color="FFFFFF"/>
              <w:right w:val="nil"/>
            </w:tcBorders>
            <w:shd w:val="clear" w:color="auto" w:fill="0B769F" w:themeFill="accent4" w:themeFillShade="BF"/>
            <w:vAlign w:val="center"/>
          </w:tcPr>
          <w:p w14:paraId="14A90916"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33CE53E7" w14:textId="77777777" w:rsidR="008C7D2D" w:rsidRPr="00367713" w:rsidRDefault="008C7D2D" w:rsidP="008C7D2D">
            <w:pPr>
              <w:spacing w:after="0"/>
              <w:jc w:val="left"/>
              <w:rPr>
                <w:rFonts w:cs="Calibri"/>
                <w:szCs w:val="22"/>
              </w:rPr>
            </w:pPr>
          </w:p>
        </w:tc>
      </w:tr>
      <w:tr w:rsidR="008C7D2D" w:rsidRPr="00115582" w14:paraId="1F46437F" w14:textId="77777777" w:rsidTr="00500C31">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60DC6560"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7.5</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0229F91B" w14:textId="77777777" w:rsidR="008C7D2D" w:rsidRPr="00367713" w:rsidRDefault="008C7D2D" w:rsidP="008C7D2D">
            <w:pPr>
              <w:spacing w:after="0"/>
              <w:jc w:val="left"/>
              <w:rPr>
                <w:szCs w:val="22"/>
              </w:rPr>
            </w:pPr>
            <w:r w:rsidRPr="00367713">
              <w:rPr>
                <w:rFonts w:cs="Calibri"/>
                <w:szCs w:val="22"/>
              </w:rPr>
              <w:t>Do you have a preferred option? If so, please give your reasons for preferring it (with reference, if possible, to how it would assist addressing the issues with the audit market in New Zealand) and provide as much information as you can in support of your preference, along with any other matters we would need to take into account when designing the detail of that option.</w:t>
            </w:r>
          </w:p>
        </w:tc>
      </w:tr>
      <w:tr w:rsidR="008C7D2D" w:rsidRPr="00115582" w14:paraId="5D577746" w14:textId="77777777" w:rsidTr="00500C31">
        <w:trPr>
          <w:trHeight w:val="300"/>
        </w:trPr>
        <w:tc>
          <w:tcPr>
            <w:tcW w:w="551" w:type="dxa"/>
            <w:vMerge/>
            <w:tcBorders>
              <w:left w:val="nil"/>
              <w:bottom w:val="single" w:sz="8" w:space="0" w:color="FFFFFF"/>
              <w:right w:val="nil"/>
            </w:tcBorders>
            <w:shd w:val="clear" w:color="auto" w:fill="0B769F" w:themeFill="accent4" w:themeFillShade="BF"/>
            <w:vAlign w:val="center"/>
          </w:tcPr>
          <w:p w14:paraId="656DCC5E"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0462071" w14:textId="77777777" w:rsidR="008C7D2D" w:rsidRPr="00367713" w:rsidRDefault="008C7D2D" w:rsidP="008C7D2D">
            <w:pPr>
              <w:spacing w:after="0"/>
              <w:jc w:val="left"/>
              <w:rPr>
                <w:rFonts w:cs="Calibri"/>
                <w:szCs w:val="22"/>
              </w:rPr>
            </w:pPr>
          </w:p>
        </w:tc>
      </w:tr>
      <w:tr w:rsidR="008C7D2D" w:rsidRPr="00115582" w14:paraId="70865A7B" w14:textId="77777777" w:rsidTr="00AE4D33">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65982BF0"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7.6</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19DA8E00" w14:textId="77777777" w:rsidR="008C7D2D" w:rsidRPr="00367713" w:rsidRDefault="008C7D2D" w:rsidP="008C7D2D">
            <w:pPr>
              <w:spacing w:after="0"/>
              <w:jc w:val="left"/>
              <w:rPr>
                <w:szCs w:val="22"/>
              </w:rPr>
            </w:pPr>
            <w:r w:rsidRPr="00367713">
              <w:rPr>
                <w:rFonts w:cs="Calibri"/>
                <w:szCs w:val="22"/>
              </w:rPr>
              <w:t>What are the risks associated with limiting liability for auditors in any of the ways indicated in Options B and C? For example, what would the impact on plaintiffs be? And where else might plaintiffs look to recover losses? Would audit quality suffer?</w:t>
            </w:r>
          </w:p>
        </w:tc>
      </w:tr>
      <w:tr w:rsidR="008C7D2D" w:rsidRPr="00115582" w14:paraId="6C30AB90" w14:textId="77777777" w:rsidTr="00AE4D33">
        <w:trPr>
          <w:trHeight w:val="300"/>
        </w:trPr>
        <w:tc>
          <w:tcPr>
            <w:tcW w:w="551" w:type="dxa"/>
            <w:vMerge/>
            <w:tcBorders>
              <w:left w:val="nil"/>
              <w:bottom w:val="single" w:sz="8" w:space="0" w:color="FFFFFF"/>
              <w:right w:val="nil"/>
            </w:tcBorders>
            <w:shd w:val="clear" w:color="auto" w:fill="0B769F" w:themeFill="accent4" w:themeFillShade="BF"/>
            <w:vAlign w:val="center"/>
          </w:tcPr>
          <w:p w14:paraId="49B3CAD4"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11790E92" w14:textId="77777777" w:rsidR="008C7D2D" w:rsidRPr="00367713" w:rsidRDefault="008C7D2D" w:rsidP="008C7D2D">
            <w:pPr>
              <w:spacing w:after="0"/>
              <w:jc w:val="left"/>
              <w:rPr>
                <w:rFonts w:cs="Calibri"/>
                <w:szCs w:val="22"/>
              </w:rPr>
            </w:pPr>
          </w:p>
        </w:tc>
      </w:tr>
      <w:tr w:rsidR="008C7D2D" w:rsidRPr="00115582" w14:paraId="266FF8F5" w14:textId="77777777" w:rsidTr="00777706">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6D4A21A2"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7.7</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4FF934EB" w14:textId="77777777" w:rsidR="008C7D2D" w:rsidRPr="00367713" w:rsidRDefault="008C7D2D" w:rsidP="008C7D2D">
            <w:pPr>
              <w:spacing w:after="0"/>
              <w:jc w:val="left"/>
              <w:rPr>
                <w:szCs w:val="22"/>
              </w:rPr>
            </w:pPr>
            <w:r w:rsidRPr="00367713">
              <w:rPr>
                <w:rFonts w:cs="Calibri"/>
                <w:szCs w:val="22"/>
              </w:rPr>
              <w:t>Do you see any issues with introducing a capping scheme just for auditors where other professions – eg, lawyers and accountants – would still be joint and severally liable for a loss where more than one party has a role?</w:t>
            </w:r>
          </w:p>
        </w:tc>
      </w:tr>
      <w:tr w:rsidR="008C7D2D" w:rsidRPr="00115582" w14:paraId="22F269E6" w14:textId="77777777" w:rsidTr="00777706">
        <w:trPr>
          <w:trHeight w:val="300"/>
        </w:trPr>
        <w:tc>
          <w:tcPr>
            <w:tcW w:w="551" w:type="dxa"/>
            <w:vMerge/>
            <w:tcBorders>
              <w:left w:val="nil"/>
              <w:bottom w:val="single" w:sz="8" w:space="0" w:color="FFFFFF"/>
              <w:right w:val="nil"/>
            </w:tcBorders>
            <w:shd w:val="clear" w:color="auto" w:fill="0B769F" w:themeFill="accent4" w:themeFillShade="BF"/>
            <w:vAlign w:val="center"/>
          </w:tcPr>
          <w:p w14:paraId="61501304"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57F667A1" w14:textId="77777777" w:rsidR="008C7D2D" w:rsidRPr="00367713" w:rsidRDefault="008C7D2D" w:rsidP="008C7D2D">
            <w:pPr>
              <w:spacing w:after="0"/>
              <w:jc w:val="left"/>
              <w:rPr>
                <w:rFonts w:cs="Calibri"/>
                <w:szCs w:val="22"/>
              </w:rPr>
            </w:pPr>
          </w:p>
        </w:tc>
      </w:tr>
      <w:tr w:rsidR="008C7D2D" w:rsidRPr="00115582" w14:paraId="5658DFCB" w14:textId="77777777" w:rsidTr="007B668C">
        <w:trPr>
          <w:trHeight w:val="300"/>
        </w:trPr>
        <w:tc>
          <w:tcPr>
            <w:tcW w:w="551" w:type="dxa"/>
            <w:vMerge w:val="restart"/>
            <w:tcBorders>
              <w:top w:val="single" w:sz="8" w:space="0" w:color="FFFFFF"/>
              <w:left w:val="nil"/>
              <w:right w:val="nil"/>
            </w:tcBorders>
            <w:shd w:val="clear" w:color="auto" w:fill="0B769F" w:themeFill="accent4" w:themeFillShade="BF"/>
            <w:vAlign w:val="center"/>
          </w:tcPr>
          <w:p w14:paraId="30AEA3D3"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7.8</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36CFA0CE" w14:textId="77777777" w:rsidR="008C7D2D" w:rsidRPr="00367713" w:rsidRDefault="008C7D2D" w:rsidP="008C7D2D">
            <w:pPr>
              <w:spacing w:after="0"/>
              <w:jc w:val="left"/>
              <w:rPr>
                <w:szCs w:val="22"/>
              </w:rPr>
            </w:pPr>
            <w:r w:rsidRPr="00367713">
              <w:rPr>
                <w:rFonts w:cs="Calibri"/>
                <w:szCs w:val="22"/>
              </w:rPr>
              <w:t>Are there any other issues relating to auditor regulation and the state of the audit market in New Zealand that you would like to bring to our attention?</w:t>
            </w:r>
          </w:p>
        </w:tc>
      </w:tr>
      <w:tr w:rsidR="008C7D2D" w:rsidRPr="00115582" w14:paraId="2DA36511" w14:textId="77777777" w:rsidTr="007B668C">
        <w:trPr>
          <w:trHeight w:val="300"/>
        </w:trPr>
        <w:tc>
          <w:tcPr>
            <w:tcW w:w="551" w:type="dxa"/>
            <w:vMerge/>
            <w:tcBorders>
              <w:left w:val="nil"/>
              <w:bottom w:val="single" w:sz="8" w:space="0" w:color="FFFFFF"/>
              <w:right w:val="nil"/>
            </w:tcBorders>
            <w:shd w:val="clear" w:color="auto" w:fill="0B769F" w:themeFill="accent4" w:themeFillShade="BF"/>
            <w:vAlign w:val="center"/>
          </w:tcPr>
          <w:p w14:paraId="217DF29D"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77D125C8" w14:textId="77777777" w:rsidR="008C7D2D" w:rsidRPr="00367713" w:rsidRDefault="008C7D2D" w:rsidP="008C7D2D">
            <w:pPr>
              <w:spacing w:after="0"/>
              <w:jc w:val="left"/>
              <w:rPr>
                <w:rFonts w:cs="Calibri"/>
                <w:szCs w:val="22"/>
              </w:rPr>
            </w:pPr>
          </w:p>
        </w:tc>
      </w:tr>
      <w:tr w:rsidR="008C7D2D" w:rsidRPr="00115582" w14:paraId="5B19623E" w14:textId="77777777" w:rsidTr="004B3A4B">
        <w:trPr>
          <w:trHeight w:val="397"/>
        </w:trPr>
        <w:tc>
          <w:tcPr>
            <w:tcW w:w="551" w:type="dxa"/>
            <w:vMerge w:val="restart"/>
            <w:tcBorders>
              <w:top w:val="single" w:sz="8" w:space="0" w:color="FFFFFF"/>
              <w:left w:val="nil"/>
              <w:right w:val="nil"/>
            </w:tcBorders>
            <w:shd w:val="clear" w:color="auto" w:fill="0B769F" w:themeFill="accent4" w:themeFillShade="BF"/>
            <w:vAlign w:val="center"/>
          </w:tcPr>
          <w:p w14:paraId="2A8E4A3C"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7.9</w:t>
            </w:r>
          </w:p>
        </w:tc>
        <w:tc>
          <w:tcPr>
            <w:tcW w:w="9655" w:type="dxa"/>
            <w:tcBorders>
              <w:top w:val="single" w:sz="4" w:space="0" w:color="auto"/>
              <w:left w:val="nil"/>
              <w:bottom w:val="single" w:sz="4" w:space="0" w:color="auto"/>
              <w:right w:val="single" w:sz="4" w:space="0" w:color="auto"/>
            </w:tcBorders>
            <w:shd w:val="clear" w:color="auto" w:fill="E9F7FD"/>
            <w:vAlign w:val="center"/>
          </w:tcPr>
          <w:p w14:paraId="2FC2B152" w14:textId="77777777" w:rsidR="008C7D2D" w:rsidRPr="00367713" w:rsidRDefault="008C7D2D" w:rsidP="008C7D2D">
            <w:pPr>
              <w:spacing w:after="0"/>
              <w:jc w:val="left"/>
              <w:rPr>
                <w:rFonts w:cs="Calibri"/>
                <w:szCs w:val="22"/>
              </w:rPr>
            </w:pPr>
            <w:r w:rsidRPr="00367713">
              <w:rPr>
                <w:rFonts w:cs="Calibri"/>
                <w:szCs w:val="22"/>
              </w:rPr>
              <w:t>Please share any other comments, evidence or data you have on auditor liabilities or related topics.</w:t>
            </w:r>
          </w:p>
        </w:tc>
      </w:tr>
      <w:tr w:rsidR="008C7D2D" w:rsidRPr="00115582" w14:paraId="388776D1" w14:textId="77777777" w:rsidTr="004B3A4B">
        <w:trPr>
          <w:trHeight w:val="397"/>
        </w:trPr>
        <w:tc>
          <w:tcPr>
            <w:tcW w:w="551" w:type="dxa"/>
            <w:vMerge/>
            <w:tcBorders>
              <w:left w:val="nil"/>
              <w:bottom w:val="single" w:sz="8" w:space="0" w:color="FFFFFF"/>
              <w:right w:val="nil"/>
            </w:tcBorders>
            <w:shd w:val="clear" w:color="auto" w:fill="0B769F" w:themeFill="accent4" w:themeFillShade="BF"/>
            <w:vAlign w:val="center"/>
          </w:tcPr>
          <w:p w14:paraId="109889F7"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6F177A3" w14:textId="77777777" w:rsidR="008C7D2D" w:rsidRPr="00367713" w:rsidRDefault="008C7D2D" w:rsidP="008C7D2D">
            <w:pPr>
              <w:spacing w:after="0"/>
              <w:jc w:val="left"/>
              <w:rPr>
                <w:rFonts w:cs="Calibri"/>
                <w:szCs w:val="22"/>
              </w:rPr>
            </w:pPr>
          </w:p>
        </w:tc>
      </w:tr>
      <w:tr w:rsidR="008C7D2D" w:rsidRPr="0021285A" w14:paraId="1D446D47" w14:textId="77777777" w:rsidTr="00511869">
        <w:trPr>
          <w:trHeight w:val="567"/>
        </w:trPr>
        <w:tc>
          <w:tcPr>
            <w:tcW w:w="10206" w:type="dxa"/>
            <w:gridSpan w:val="2"/>
            <w:tcBorders>
              <w:top w:val="single" w:sz="8" w:space="0" w:color="FFFFFF"/>
              <w:left w:val="nil"/>
              <w:bottom w:val="single" w:sz="8" w:space="0" w:color="FFFFFF"/>
              <w:right w:val="single" w:sz="4" w:space="0" w:color="auto"/>
            </w:tcBorders>
            <w:shd w:val="clear" w:color="auto" w:fill="215E99" w:themeFill="text2" w:themeFillTint="BF"/>
            <w:vAlign w:val="center"/>
          </w:tcPr>
          <w:p w14:paraId="77DABAFD" w14:textId="183F9944" w:rsidR="008C7D2D" w:rsidRPr="0021285A" w:rsidRDefault="008C7D2D" w:rsidP="008C7D2D">
            <w:pPr>
              <w:spacing w:after="0"/>
              <w:jc w:val="left"/>
              <w:rPr>
                <w:rFonts w:cs="Calibri"/>
                <w:b/>
                <w:bCs/>
                <w:sz w:val="20"/>
                <w:szCs w:val="20"/>
              </w:rPr>
            </w:pPr>
            <w:r>
              <w:rPr>
                <w:rFonts w:cs="Calibri"/>
                <w:b/>
                <w:bCs/>
                <w:color w:val="FFFFFF" w:themeColor="background1"/>
                <w:sz w:val="24"/>
              </w:rPr>
              <w:t xml:space="preserve">8.    </w:t>
            </w:r>
            <w:r w:rsidRPr="00A83A3B">
              <w:rPr>
                <w:rFonts w:cs="Calibri"/>
                <w:b/>
                <w:bCs/>
                <w:color w:val="FFFFFF" w:themeColor="background1"/>
                <w:sz w:val="24"/>
              </w:rPr>
              <w:t>Broker activity and visibility of offers</w:t>
            </w:r>
          </w:p>
        </w:tc>
      </w:tr>
      <w:tr w:rsidR="008C7D2D" w14:paraId="72A1B1E8"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65210FE3"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8.1</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06B622A" w14:textId="77777777" w:rsidR="008C7D2D" w:rsidRPr="00367713" w:rsidRDefault="008C7D2D" w:rsidP="008C7D2D">
            <w:pPr>
              <w:spacing w:after="0"/>
              <w:jc w:val="left"/>
              <w:rPr>
                <w:rFonts w:cs="Calibri"/>
                <w:szCs w:val="22"/>
              </w:rPr>
            </w:pPr>
            <w:r w:rsidRPr="00367713">
              <w:rPr>
                <w:rFonts w:cs="Calibri"/>
                <w:szCs w:val="22"/>
              </w:rPr>
              <w:t>Do you agree with the problem definition? In your view, how significant are any issues relating to broker activity, research coverage, or issuer visibility in New Zealand capital markets, particularly for smaller listed companies? Please provide evidence or examples where possible.</w:t>
            </w:r>
          </w:p>
        </w:tc>
      </w:tr>
      <w:tr w:rsidR="008C7D2D" w14:paraId="3DF02FBE" w14:textId="77777777" w:rsidTr="00A76151">
        <w:trPr>
          <w:trHeight w:val="397"/>
        </w:trPr>
        <w:tc>
          <w:tcPr>
            <w:tcW w:w="551" w:type="dxa"/>
            <w:vMerge/>
            <w:tcBorders>
              <w:left w:val="nil"/>
              <w:bottom w:val="single" w:sz="8" w:space="0" w:color="FFFFFF"/>
              <w:right w:val="nil"/>
            </w:tcBorders>
            <w:shd w:val="clear" w:color="auto" w:fill="215E99" w:themeFill="text2" w:themeFillTint="BF"/>
            <w:vAlign w:val="center"/>
          </w:tcPr>
          <w:p w14:paraId="3940B776"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02CAECEF" w14:textId="77777777" w:rsidR="008C7D2D" w:rsidRPr="00367713" w:rsidRDefault="008C7D2D" w:rsidP="008C7D2D">
            <w:pPr>
              <w:spacing w:after="0"/>
              <w:jc w:val="left"/>
              <w:rPr>
                <w:rFonts w:cs="Calibri"/>
                <w:szCs w:val="22"/>
              </w:rPr>
            </w:pPr>
          </w:p>
        </w:tc>
      </w:tr>
      <w:tr w:rsidR="008C7D2D" w14:paraId="59CB1B24"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40330A84"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8.2</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01273FE6" w14:textId="77777777" w:rsidR="008C7D2D" w:rsidRPr="00367713" w:rsidRDefault="008C7D2D" w:rsidP="008C7D2D">
            <w:pPr>
              <w:spacing w:after="0"/>
              <w:jc w:val="left"/>
              <w:rPr>
                <w:rFonts w:cs="Calibri"/>
                <w:szCs w:val="22"/>
              </w:rPr>
            </w:pPr>
            <w:r w:rsidRPr="00367713">
              <w:rPr>
                <w:rFonts w:cs="Calibri"/>
                <w:szCs w:val="22"/>
              </w:rPr>
              <w:t>To what extent do broker incentives or business models affect capital raising outcomes, particularly for smaller or growth-stage issuers?</w:t>
            </w:r>
          </w:p>
        </w:tc>
      </w:tr>
      <w:tr w:rsidR="008C7D2D" w14:paraId="59927437" w14:textId="77777777" w:rsidTr="005F7BCF">
        <w:trPr>
          <w:trHeight w:val="397"/>
        </w:trPr>
        <w:tc>
          <w:tcPr>
            <w:tcW w:w="551" w:type="dxa"/>
            <w:vMerge/>
            <w:tcBorders>
              <w:left w:val="nil"/>
              <w:bottom w:val="single" w:sz="8" w:space="0" w:color="FFFFFF"/>
              <w:right w:val="nil"/>
            </w:tcBorders>
            <w:shd w:val="clear" w:color="auto" w:fill="215E99" w:themeFill="text2" w:themeFillTint="BF"/>
            <w:vAlign w:val="center"/>
          </w:tcPr>
          <w:p w14:paraId="0422E098"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90ED872" w14:textId="77777777" w:rsidR="008C7D2D" w:rsidRPr="00367713" w:rsidRDefault="008C7D2D" w:rsidP="008C7D2D">
            <w:pPr>
              <w:spacing w:after="0"/>
              <w:jc w:val="left"/>
              <w:rPr>
                <w:rFonts w:cs="Calibri"/>
                <w:szCs w:val="22"/>
              </w:rPr>
            </w:pPr>
          </w:p>
        </w:tc>
      </w:tr>
      <w:tr w:rsidR="008C7D2D" w14:paraId="6D956174"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5FDD23F2"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8.3</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1B8E77C" w14:textId="77777777" w:rsidR="008C7D2D" w:rsidRPr="00367713" w:rsidRDefault="008C7D2D" w:rsidP="008C7D2D">
            <w:pPr>
              <w:spacing w:after="0"/>
              <w:jc w:val="left"/>
              <w:rPr>
                <w:rFonts w:cs="Calibri"/>
                <w:szCs w:val="22"/>
              </w:rPr>
            </w:pPr>
            <w:r w:rsidRPr="00367713">
              <w:rPr>
                <w:rFonts w:cs="Calibri"/>
                <w:szCs w:val="22"/>
              </w:rPr>
              <w:t>Are there specific barriers that prevent brokers or other intermediaries from supporting IPOs, secondary market activity, or ongoing investor engagement for smaller issuers?</w:t>
            </w:r>
          </w:p>
        </w:tc>
      </w:tr>
      <w:tr w:rsidR="008C7D2D" w14:paraId="6A027EFE" w14:textId="77777777" w:rsidTr="000F32CF">
        <w:trPr>
          <w:trHeight w:val="397"/>
        </w:trPr>
        <w:tc>
          <w:tcPr>
            <w:tcW w:w="551" w:type="dxa"/>
            <w:vMerge/>
            <w:tcBorders>
              <w:left w:val="nil"/>
              <w:bottom w:val="single" w:sz="8" w:space="0" w:color="FFFFFF"/>
              <w:right w:val="nil"/>
            </w:tcBorders>
            <w:shd w:val="clear" w:color="auto" w:fill="215E99" w:themeFill="text2" w:themeFillTint="BF"/>
            <w:vAlign w:val="center"/>
          </w:tcPr>
          <w:p w14:paraId="57D93AF2"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3B74C9A" w14:textId="77777777" w:rsidR="008C7D2D" w:rsidRPr="00367713" w:rsidRDefault="008C7D2D" w:rsidP="008C7D2D">
            <w:pPr>
              <w:spacing w:after="0"/>
              <w:jc w:val="left"/>
              <w:rPr>
                <w:rFonts w:cs="Calibri"/>
                <w:szCs w:val="22"/>
              </w:rPr>
            </w:pPr>
          </w:p>
        </w:tc>
      </w:tr>
      <w:tr w:rsidR="008C7D2D" w14:paraId="2F88D963"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16C87E14"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8.4</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24997E23" w14:textId="77777777" w:rsidR="008C7D2D" w:rsidRPr="00367713" w:rsidRDefault="008C7D2D" w:rsidP="008C7D2D">
            <w:pPr>
              <w:spacing w:after="0"/>
              <w:jc w:val="left"/>
              <w:rPr>
                <w:rFonts w:cs="Calibri"/>
                <w:szCs w:val="22"/>
              </w:rPr>
            </w:pPr>
            <w:r w:rsidRPr="00367713">
              <w:rPr>
                <w:rFonts w:cs="Calibri"/>
                <w:szCs w:val="22"/>
              </w:rPr>
              <w:t>What could various industry players do (collectively or individually) to address the issues?</w:t>
            </w:r>
          </w:p>
        </w:tc>
      </w:tr>
      <w:tr w:rsidR="008C7D2D" w14:paraId="4343E773" w14:textId="77777777" w:rsidTr="004E4E61">
        <w:trPr>
          <w:trHeight w:val="397"/>
        </w:trPr>
        <w:tc>
          <w:tcPr>
            <w:tcW w:w="551" w:type="dxa"/>
            <w:vMerge/>
            <w:tcBorders>
              <w:left w:val="nil"/>
              <w:bottom w:val="single" w:sz="8" w:space="0" w:color="FFFFFF"/>
              <w:right w:val="nil"/>
            </w:tcBorders>
            <w:shd w:val="clear" w:color="auto" w:fill="215E99" w:themeFill="text2" w:themeFillTint="BF"/>
            <w:vAlign w:val="center"/>
          </w:tcPr>
          <w:p w14:paraId="059CD768"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6D006587" w14:textId="77777777" w:rsidR="008C7D2D" w:rsidRPr="00367713" w:rsidRDefault="008C7D2D" w:rsidP="008C7D2D">
            <w:pPr>
              <w:spacing w:after="0"/>
              <w:jc w:val="left"/>
              <w:rPr>
                <w:rFonts w:cs="Calibri"/>
                <w:szCs w:val="22"/>
              </w:rPr>
            </w:pPr>
          </w:p>
        </w:tc>
      </w:tr>
      <w:tr w:rsidR="008C7D2D" w14:paraId="6530E661"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3008682F"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8.5</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D9195E9" w14:textId="77777777" w:rsidR="008C7D2D" w:rsidRPr="00367713" w:rsidRDefault="008C7D2D" w:rsidP="008C7D2D">
            <w:pPr>
              <w:spacing w:after="0"/>
              <w:jc w:val="left"/>
              <w:rPr>
                <w:rFonts w:cs="Calibri"/>
                <w:szCs w:val="22"/>
              </w:rPr>
            </w:pPr>
            <w:r w:rsidRPr="00367713">
              <w:rPr>
                <w:rFonts w:cs="Calibri"/>
                <w:szCs w:val="22"/>
              </w:rPr>
              <w:t>To what extent are the issues identified in this section driven by regulatory settings, as opposed to other structural factors? Do you see a role for government in addressing any of these issues? If so, what types of intervention (if any) should be considered, and what risks should be taken into account?</w:t>
            </w:r>
          </w:p>
        </w:tc>
      </w:tr>
      <w:tr w:rsidR="008C7D2D" w14:paraId="039E0CB1" w14:textId="77777777" w:rsidTr="00C256D3">
        <w:trPr>
          <w:trHeight w:val="397"/>
        </w:trPr>
        <w:tc>
          <w:tcPr>
            <w:tcW w:w="551" w:type="dxa"/>
            <w:vMerge/>
            <w:tcBorders>
              <w:left w:val="nil"/>
              <w:bottom w:val="single" w:sz="8" w:space="0" w:color="FFFFFF"/>
              <w:right w:val="nil"/>
            </w:tcBorders>
            <w:shd w:val="clear" w:color="auto" w:fill="215E99" w:themeFill="text2" w:themeFillTint="BF"/>
            <w:vAlign w:val="center"/>
          </w:tcPr>
          <w:p w14:paraId="7E316DBE"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494BFFB8" w14:textId="77777777" w:rsidR="008C7D2D" w:rsidRPr="00367713" w:rsidRDefault="008C7D2D" w:rsidP="008C7D2D">
            <w:pPr>
              <w:spacing w:after="0"/>
              <w:jc w:val="left"/>
              <w:rPr>
                <w:rFonts w:cs="Calibri"/>
                <w:szCs w:val="22"/>
              </w:rPr>
            </w:pPr>
          </w:p>
        </w:tc>
      </w:tr>
      <w:tr w:rsidR="008C7D2D" w14:paraId="20325975"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2003162B"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8.6</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31763DEC" w14:textId="77777777" w:rsidR="008C7D2D" w:rsidRPr="00367713" w:rsidRDefault="008C7D2D" w:rsidP="008C7D2D">
            <w:pPr>
              <w:spacing w:after="0"/>
              <w:jc w:val="left"/>
              <w:rPr>
                <w:rFonts w:cs="Calibri"/>
                <w:szCs w:val="22"/>
              </w:rPr>
            </w:pPr>
            <w:r w:rsidRPr="00367713">
              <w:rPr>
                <w:rFonts w:cs="Calibri"/>
                <w:szCs w:val="22"/>
              </w:rPr>
              <w:t>Are there international examples or models (for example, in relation to research coverage or broker incentives) that you consider relevant to New Zealand?</w:t>
            </w:r>
          </w:p>
        </w:tc>
      </w:tr>
      <w:tr w:rsidR="008C7D2D" w14:paraId="122C89C4" w14:textId="77777777" w:rsidTr="00D76942">
        <w:trPr>
          <w:trHeight w:val="397"/>
        </w:trPr>
        <w:tc>
          <w:tcPr>
            <w:tcW w:w="551" w:type="dxa"/>
            <w:vMerge/>
            <w:tcBorders>
              <w:left w:val="nil"/>
              <w:bottom w:val="single" w:sz="8" w:space="0" w:color="FFFFFF"/>
              <w:right w:val="nil"/>
            </w:tcBorders>
            <w:shd w:val="clear" w:color="auto" w:fill="215E99" w:themeFill="text2" w:themeFillTint="BF"/>
            <w:vAlign w:val="center"/>
          </w:tcPr>
          <w:p w14:paraId="01D4B9E9" w14:textId="77777777" w:rsidR="008C7D2D" w:rsidRPr="00367713" w:rsidRDefault="008C7D2D" w:rsidP="008C7D2D">
            <w:pPr>
              <w:spacing w:after="0"/>
              <w:jc w:val="center"/>
              <w:rPr>
                <w:rFonts w:eastAsia="Calibri" w:cs="Calibri"/>
                <w:b/>
                <w:bCs/>
                <w:color w:val="FFFFFF"/>
                <w:szCs w:val="22"/>
                <w:lang w:eastAsia="ko-KR"/>
              </w:rPr>
            </w:pPr>
          </w:p>
        </w:tc>
        <w:tc>
          <w:tcPr>
            <w:tcW w:w="9655" w:type="dxa"/>
            <w:tcBorders>
              <w:top w:val="single" w:sz="4" w:space="0" w:color="auto"/>
              <w:left w:val="nil"/>
              <w:bottom w:val="single" w:sz="4" w:space="0" w:color="auto"/>
              <w:right w:val="single" w:sz="4" w:space="0" w:color="auto"/>
            </w:tcBorders>
            <w:vAlign w:val="center"/>
          </w:tcPr>
          <w:p w14:paraId="58ECDECF" w14:textId="77777777" w:rsidR="008C7D2D" w:rsidRPr="00367713" w:rsidRDefault="008C7D2D" w:rsidP="008C7D2D">
            <w:pPr>
              <w:spacing w:after="0"/>
              <w:jc w:val="left"/>
              <w:rPr>
                <w:rFonts w:cs="Calibri"/>
                <w:szCs w:val="22"/>
              </w:rPr>
            </w:pPr>
          </w:p>
        </w:tc>
      </w:tr>
      <w:tr w:rsidR="008C7D2D" w14:paraId="16733336" w14:textId="77777777" w:rsidTr="005868B1">
        <w:trPr>
          <w:trHeight w:val="397"/>
        </w:trPr>
        <w:tc>
          <w:tcPr>
            <w:tcW w:w="551" w:type="dxa"/>
            <w:vMerge w:val="restart"/>
            <w:tcBorders>
              <w:top w:val="single" w:sz="8" w:space="0" w:color="FFFFFF"/>
              <w:left w:val="nil"/>
              <w:right w:val="nil"/>
            </w:tcBorders>
            <w:shd w:val="clear" w:color="auto" w:fill="215E99" w:themeFill="text2" w:themeFillTint="BF"/>
            <w:vAlign w:val="center"/>
          </w:tcPr>
          <w:p w14:paraId="469EA55C" w14:textId="77777777" w:rsidR="008C7D2D" w:rsidRPr="00367713" w:rsidRDefault="008C7D2D" w:rsidP="008C7D2D">
            <w:pPr>
              <w:spacing w:after="0"/>
              <w:jc w:val="center"/>
              <w:rPr>
                <w:rFonts w:eastAsia="Calibri" w:cs="Calibri"/>
                <w:b/>
                <w:bCs/>
                <w:color w:val="FFFFFF"/>
                <w:szCs w:val="22"/>
                <w:lang w:eastAsia="ko-KR"/>
              </w:rPr>
            </w:pPr>
            <w:r w:rsidRPr="00367713">
              <w:rPr>
                <w:rFonts w:eastAsia="Calibri" w:cs="Calibri"/>
                <w:b/>
                <w:bCs/>
                <w:color w:val="FFFFFF"/>
                <w:szCs w:val="22"/>
                <w:lang w:eastAsia="ko-KR"/>
              </w:rPr>
              <w:t>8.7</w:t>
            </w:r>
          </w:p>
        </w:tc>
        <w:tc>
          <w:tcPr>
            <w:tcW w:w="9655" w:type="dxa"/>
            <w:tcBorders>
              <w:top w:val="single" w:sz="4" w:space="0" w:color="auto"/>
              <w:left w:val="nil"/>
              <w:bottom w:val="single" w:sz="4" w:space="0" w:color="auto"/>
              <w:right w:val="single" w:sz="4" w:space="0" w:color="auto"/>
            </w:tcBorders>
            <w:shd w:val="clear" w:color="auto" w:fill="DAE9F7" w:themeFill="text2" w:themeFillTint="1A"/>
            <w:vAlign w:val="center"/>
          </w:tcPr>
          <w:p w14:paraId="4F3A9BAE" w14:textId="77777777" w:rsidR="008C7D2D" w:rsidRPr="00367713" w:rsidRDefault="008C7D2D" w:rsidP="008C7D2D">
            <w:pPr>
              <w:spacing w:after="0"/>
              <w:jc w:val="left"/>
              <w:rPr>
                <w:rFonts w:cs="Calibri"/>
                <w:szCs w:val="22"/>
              </w:rPr>
            </w:pPr>
            <w:r w:rsidRPr="00367713">
              <w:rPr>
                <w:rFonts w:cs="Calibri"/>
                <w:szCs w:val="22"/>
              </w:rPr>
              <w:t>Please share any other comments, evidence or data you may have on broker activity and the promotion of small business investment opportunities.</w:t>
            </w:r>
          </w:p>
        </w:tc>
      </w:tr>
      <w:tr w:rsidR="008C7D2D" w14:paraId="1D1F34A7" w14:textId="77777777" w:rsidTr="00D039A6">
        <w:trPr>
          <w:trHeight w:val="397"/>
        </w:trPr>
        <w:tc>
          <w:tcPr>
            <w:tcW w:w="551" w:type="dxa"/>
            <w:vMerge/>
            <w:tcBorders>
              <w:left w:val="nil"/>
              <w:bottom w:val="single" w:sz="4" w:space="0" w:color="000000" w:themeColor="text1"/>
              <w:right w:val="nil"/>
            </w:tcBorders>
            <w:shd w:val="clear" w:color="auto" w:fill="215E99" w:themeFill="text2" w:themeFillTint="BF"/>
            <w:vAlign w:val="center"/>
          </w:tcPr>
          <w:p w14:paraId="26725E01" w14:textId="77777777" w:rsidR="008C7D2D" w:rsidRDefault="008C7D2D" w:rsidP="008C7D2D">
            <w:pPr>
              <w:spacing w:after="0"/>
              <w:jc w:val="center"/>
              <w:rPr>
                <w:rFonts w:eastAsia="Calibri" w:cs="Calibri"/>
                <w:b/>
                <w:bCs/>
                <w:color w:val="FFFFFF"/>
                <w:sz w:val="20"/>
                <w:szCs w:val="20"/>
                <w:lang w:eastAsia="ko-KR"/>
              </w:rPr>
            </w:pPr>
          </w:p>
        </w:tc>
        <w:tc>
          <w:tcPr>
            <w:tcW w:w="9655" w:type="dxa"/>
            <w:tcBorders>
              <w:top w:val="single" w:sz="4" w:space="0" w:color="auto"/>
              <w:left w:val="nil"/>
              <w:bottom w:val="single" w:sz="4" w:space="0" w:color="auto"/>
              <w:right w:val="single" w:sz="4" w:space="0" w:color="auto"/>
            </w:tcBorders>
            <w:vAlign w:val="center"/>
          </w:tcPr>
          <w:p w14:paraId="0C8D205D" w14:textId="77777777" w:rsidR="008C7D2D" w:rsidRPr="001F13BB" w:rsidRDefault="008C7D2D" w:rsidP="008C7D2D">
            <w:pPr>
              <w:spacing w:after="0"/>
              <w:jc w:val="left"/>
              <w:rPr>
                <w:rFonts w:cs="Calibri"/>
                <w:szCs w:val="22"/>
              </w:rPr>
            </w:pPr>
          </w:p>
        </w:tc>
      </w:tr>
    </w:tbl>
    <w:p w14:paraId="5C805FA7" w14:textId="77777777" w:rsidR="00B42B44" w:rsidRPr="00B1760C" w:rsidRDefault="00B42B44" w:rsidP="00B42B44">
      <w:pPr>
        <w:rPr>
          <w:rFonts w:cs="Calibri"/>
          <w:sz w:val="20"/>
          <w:szCs w:val="20"/>
        </w:rPr>
      </w:pPr>
    </w:p>
    <w:p w14:paraId="2F953394" w14:textId="77777777" w:rsidR="00B42B44" w:rsidRDefault="00B42B44"/>
    <w:sectPr w:rsidR="00B42B44" w:rsidSect="00B42B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32110"/>
    <w:multiLevelType w:val="multilevel"/>
    <w:tmpl w:val="3B00B92A"/>
    <w:lvl w:ilvl="0">
      <w:start w:val="1"/>
      <w:numFmt w:val="decimal"/>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bullet"/>
      <w:lvlText w:val=""/>
      <w:lvlJc w:val="left"/>
      <w:pPr>
        <w:ind w:left="1641" w:hanging="360"/>
      </w:pPr>
      <w:rPr>
        <w:rFonts w:ascii="Symbol" w:hAnsi="Symbol"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 w15:restartNumberingAfterBreak="0">
    <w:nsid w:val="2BDE2D8D"/>
    <w:multiLevelType w:val="hybridMultilevel"/>
    <w:tmpl w:val="6330C542"/>
    <w:lvl w:ilvl="0" w:tplc="0E808D00">
      <w:start w:val="1"/>
      <w:numFmt w:val="bullet"/>
      <w:pStyle w:val="ListBullet2"/>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2" w15:restartNumberingAfterBreak="0">
    <w:nsid w:val="54B03B39"/>
    <w:multiLevelType w:val="multilevel"/>
    <w:tmpl w:val="21A4F6D6"/>
    <w:lvl w:ilvl="0">
      <w:start w:val="1"/>
      <w:numFmt w:val="bullet"/>
      <w:pStyle w:val="BodyText-Bullets"/>
      <w:lvlText w:val=""/>
      <w:lvlJc w:val="left"/>
      <w:pPr>
        <w:ind w:left="1281" w:hanging="357"/>
      </w:pPr>
      <w:rPr>
        <w:rFonts w:ascii="Symbol" w:hAnsi="Symbol" w:hint="default"/>
      </w:rPr>
    </w:lvl>
    <w:lvl w:ilvl="1">
      <w:start w:val="1"/>
      <w:numFmt w:val="bullet"/>
      <w:lvlText w:val="–"/>
      <w:lvlJc w:val="left"/>
      <w:pPr>
        <w:ind w:left="1638" w:hanging="357"/>
      </w:pPr>
      <w:rPr>
        <w:rFonts w:ascii="Arial" w:hAnsi="Arial" w:hint="default"/>
      </w:rPr>
    </w:lvl>
    <w:lvl w:ilvl="2">
      <w:start w:val="1"/>
      <w:numFmt w:val="bullet"/>
      <w:lvlText w:val=""/>
      <w:lvlJc w:val="left"/>
      <w:pPr>
        <w:ind w:left="1995" w:hanging="357"/>
      </w:pPr>
      <w:rPr>
        <w:rFonts w:ascii="Wingdings" w:hAnsi="Wingdings" w:hint="default"/>
      </w:rPr>
    </w:lvl>
    <w:lvl w:ilvl="3">
      <w:start w:val="1"/>
      <w:numFmt w:val="bullet"/>
      <w:lvlText w:val="o"/>
      <w:lvlJc w:val="left"/>
      <w:pPr>
        <w:ind w:left="2352" w:hanging="357"/>
      </w:pPr>
      <w:rPr>
        <w:rFonts w:ascii="Courier New" w:hAnsi="Courier New" w:hint="default"/>
      </w:rPr>
    </w:lvl>
    <w:lvl w:ilvl="4">
      <w:start w:val="1"/>
      <w:numFmt w:val="bullet"/>
      <w:lvlText w:val="o"/>
      <w:lvlJc w:val="left"/>
      <w:pPr>
        <w:ind w:left="2709" w:hanging="357"/>
      </w:pPr>
      <w:rPr>
        <w:rFonts w:ascii="Courier New" w:hAnsi="Courier New" w:cs="Courier New" w:hint="default"/>
      </w:rPr>
    </w:lvl>
    <w:lvl w:ilvl="5">
      <w:start w:val="1"/>
      <w:numFmt w:val="bullet"/>
      <w:lvlText w:val=""/>
      <w:lvlJc w:val="left"/>
      <w:pPr>
        <w:ind w:left="3066" w:hanging="357"/>
      </w:pPr>
      <w:rPr>
        <w:rFonts w:ascii="Wingdings" w:hAnsi="Wingdings" w:hint="default"/>
      </w:rPr>
    </w:lvl>
    <w:lvl w:ilvl="6">
      <w:start w:val="1"/>
      <w:numFmt w:val="bullet"/>
      <w:lvlText w:val=""/>
      <w:lvlJc w:val="left"/>
      <w:pPr>
        <w:ind w:left="3423" w:hanging="357"/>
      </w:pPr>
      <w:rPr>
        <w:rFonts w:ascii="Symbol" w:hAnsi="Symbol" w:hint="default"/>
      </w:rPr>
    </w:lvl>
    <w:lvl w:ilvl="7">
      <w:start w:val="1"/>
      <w:numFmt w:val="bullet"/>
      <w:lvlText w:val="o"/>
      <w:lvlJc w:val="left"/>
      <w:pPr>
        <w:ind w:left="3780" w:hanging="357"/>
      </w:pPr>
      <w:rPr>
        <w:rFonts w:ascii="Courier New" w:hAnsi="Courier New" w:cs="Courier New" w:hint="default"/>
      </w:rPr>
    </w:lvl>
    <w:lvl w:ilvl="8">
      <w:start w:val="1"/>
      <w:numFmt w:val="bullet"/>
      <w:lvlText w:val=""/>
      <w:lvlJc w:val="left"/>
      <w:pPr>
        <w:ind w:left="4137" w:hanging="357"/>
      </w:pPr>
      <w:rPr>
        <w:rFonts w:ascii="Wingdings" w:hAnsi="Wingdings" w:hint="default"/>
      </w:rPr>
    </w:lvl>
  </w:abstractNum>
  <w:abstractNum w:abstractNumId="3" w15:restartNumberingAfterBreak="0">
    <w:nsid w:val="63435A21"/>
    <w:multiLevelType w:val="hybridMultilevel"/>
    <w:tmpl w:val="BFCED068"/>
    <w:lvl w:ilvl="0" w:tplc="D79E8948">
      <w:start w:val="1"/>
      <w:numFmt w:val="bullet"/>
      <w:lvlText w:val=""/>
      <w:lvlJc w:val="left"/>
      <w:pPr>
        <w:ind w:left="720" w:hanging="360"/>
      </w:pPr>
      <w:rPr>
        <w:rFonts w:ascii="Symbol" w:hAnsi="Symbol" w:hint="default"/>
        <w:sz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11D3324"/>
    <w:multiLevelType w:val="multilevel"/>
    <w:tmpl w:val="779402FC"/>
    <w:lvl w:ilvl="0">
      <w:start w:val="1"/>
      <w:numFmt w:val="decimal"/>
      <w:pStyle w:val="BodyText-Numbered"/>
      <w:lvlText w:val="%1."/>
      <w:lvlJc w:val="left"/>
      <w:pPr>
        <w:ind w:left="924" w:hanging="567"/>
      </w:pPr>
      <w:rPr>
        <w:rFonts w:hint="default"/>
        <w:b w:val="0"/>
        <w:color w:val="auto"/>
        <w:sz w:val="22"/>
        <w:szCs w:val="22"/>
      </w:rPr>
    </w:lvl>
    <w:lvl w:ilvl="1">
      <w:start w:val="1"/>
      <w:numFmt w:val="lowerLetter"/>
      <w:lvlText w:val="%2."/>
      <w:lvlJc w:val="lef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num w:numId="1" w16cid:durableId="376007668">
    <w:abstractNumId w:val="1"/>
  </w:num>
  <w:num w:numId="2" w16cid:durableId="337777038">
    <w:abstractNumId w:val="4"/>
  </w:num>
  <w:num w:numId="3" w16cid:durableId="211159681">
    <w:abstractNumId w:val="2"/>
  </w:num>
  <w:num w:numId="4" w16cid:durableId="388188485">
    <w:abstractNumId w:val="0"/>
  </w:num>
  <w:num w:numId="5" w16cid:durableId="1317105119">
    <w:abstractNumId w:val="4"/>
  </w:num>
  <w:num w:numId="6" w16cid:durableId="1741708210">
    <w:abstractNumId w:val="4"/>
  </w:num>
  <w:num w:numId="7" w16cid:durableId="35325203">
    <w:abstractNumId w:val="4"/>
  </w:num>
  <w:num w:numId="8" w16cid:durableId="2127116120">
    <w:abstractNumId w:val="4"/>
  </w:num>
  <w:num w:numId="9" w16cid:durableId="1706978006">
    <w:abstractNumId w:val="4"/>
  </w:num>
  <w:num w:numId="10" w16cid:durableId="153379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44"/>
    <w:rsid w:val="00094DB1"/>
    <w:rsid w:val="00141157"/>
    <w:rsid w:val="00151195"/>
    <w:rsid w:val="0024799F"/>
    <w:rsid w:val="00250903"/>
    <w:rsid w:val="002D683F"/>
    <w:rsid w:val="00367713"/>
    <w:rsid w:val="00377419"/>
    <w:rsid w:val="0038187C"/>
    <w:rsid w:val="003958C5"/>
    <w:rsid w:val="003A63C7"/>
    <w:rsid w:val="003D6E7E"/>
    <w:rsid w:val="00406B42"/>
    <w:rsid w:val="00445FD4"/>
    <w:rsid w:val="00511869"/>
    <w:rsid w:val="00546A81"/>
    <w:rsid w:val="005868B1"/>
    <w:rsid w:val="005A4BE1"/>
    <w:rsid w:val="005F00A7"/>
    <w:rsid w:val="0069252D"/>
    <w:rsid w:val="006A4A6F"/>
    <w:rsid w:val="006F2AF6"/>
    <w:rsid w:val="00737EE5"/>
    <w:rsid w:val="00892ED7"/>
    <w:rsid w:val="008C4E9E"/>
    <w:rsid w:val="008C7D2D"/>
    <w:rsid w:val="008D2900"/>
    <w:rsid w:val="008E38F0"/>
    <w:rsid w:val="008F542B"/>
    <w:rsid w:val="00931B8F"/>
    <w:rsid w:val="0099056D"/>
    <w:rsid w:val="009D0ED2"/>
    <w:rsid w:val="00A709BB"/>
    <w:rsid w:val="00A83A3B"/>
    <w:rsid w:val="00AB60A2"/>
    <w:rsid w:val="00AC02C5"/>
    <w:rsid w:val="00AE6E1A"/>
    <w:rsid w:val="00B42B44"/>
    <w:rsid w:val="00C4057A"/>
    <w:rsid w:val="00C61CED"/>
    <w:rsid w:val="00D56BFB"/>
    <w:rsid w:val="00DC7FEE"/>
    <w:rsid w:val="00DF1889"/>
    <w:rsid w:val="00E45C53"/>
    <w:rsid w:val="00EB78B7"/>
    <w:rsid w:val="00FA28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ED50"/>
  <w15:chartTrackingRefBased/>
  <w15:docId w15:val="{13BEF864-13E2-4869-A6D9-1E619A79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44"/>
    <w:pPr>
      <w:spacing w:after="120" w:line="240" w:lineRule="auto"/>
      <w:jc w:val="both"/>
    </w:pPr>
    <w:rPr>
      <w:rFonts w:ascii="Calibri" w:hAnsi="Calibri"/>
      <w:color w:val="000000" w:themeColor="text1"/>
      <w:sz w:val="22"/>
    </w:rPr>
  </w:style>
  <w:style w:type="paragraph" w:styleId="Heading1">
    <w:name w:val="heading 1"/>
    <w:basedOn w:val="Normal"/>
    <w:next w:val="Normal"/>
    <w:link w:val="Heading1Char"/>
    <w:uiPriority w:val="9"/>
    <w:qFormat/>
    <w:rsid w:val="00B42B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B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B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B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2B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2B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2B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2B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2B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B44"/>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uiPriority w:val="9"/>
    <w:semiHidden/>
    <w:rsid w:val="00B42B44"/>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uiPriority w:val="9"/>
    <w:semiHidden/>
    <w:rsid w:val="00B42B44"/>
    <w:rPr>
      <w:rFonts w:eastAsiaTheme="majorEastAsia" w:cstheme="majorBidi"/>
      <w:color w:val="0F4761" w:themeColor="accent1" w:themeShade="BF"/>
      <w:kern w:val="0"/>
      <w:sz w:val="28"/>
      <w:szCs w:val="28"/>
    </w:rPr>
  </w:style>
  <w:style w:type="character" w:customStyle="1" w:styleId="Heading4Char">
    <w:name w:val="Heading 4 Char"/>
    <w:basedOn w:val="DefaultParagraphFont"/>
    <w:link w:val="Heading4"/>
    <w:uiPriority w:val="9"/>
    <w:semiHidden/>
    <w:rsid w:val="00B42B44"/>
    <w:rPr>
      <w:rFonts w:eastAsiaTheme="majorEastAsia" w:cstheme="majorBidi"/>
      <w:i/>
      <w:iCs/>
      <w:color w:val="0F4761" w:themeColor="accent1" w:themeShade="BF"/>
      <w:kern w:val="0"/>
      <w:sz w:val="22"/>
    </w:rPr>
  </w:style>
  <w:style w:type="character" w:customStyle="1" w:styleId="Heading5Char">
    <w:name w:val="Heading 5 Char"/>
    <w:basedOn w:val="DefaultParagraphFont"/>
    <w:link w:val="Heading5"/>
    <w:uiPriority w:val="9"/>
    <w:semiHidden/>
    <w:rsid w:val="00B42B44"/>
    <w:rPr>
      <w:rFonts w:eastAsiaTheme="majorEastAsia" w:cstheme="majorBidi"/>
      <w:color w:val="0F4761" w:themeColor="accent1" w:themeShade="BF"/>
      <w:kern w:val="0"/>
      <w:sz w:val="22"/>
    </w:rPr>
  </w:style>
  <w:style w:type="character" w:customStyle="1" w:styleId="Heading6Char">
    <w:name w:val="Heading 6 Char"/>
    <w:basedOn w:val="DefaultParagraphFont"/>
    <w:link w:val="Heading6"/>
    <w:uiPriority w:val="9"/>
    <w:semiHidden/>
    <w:rsid w:val="00B42B44"/>
    <w:rPr>
      <w:rFonts w:eastAsiaTheme="majorEastAsia" w:cstheme="majorBidi"/>
      <w:i/>
      <w:iCs/>
      <w:color w:val="595959" w:themeColor="text1" w:themeTint="A6"/>
      <w:kern w:val="0"/>
      <w:sz w:val="22"/>
    </w:rPr>
  </w:style>
  <w:style w:type="character" w:customStyle="1" w:styleId="Heading7Char">
    <w:name w:val="Heading 7 Char"/>
    <w:basedOn w:val="DefaultParagraphFont"/>
    <w:link w:val="Heading7"/>
    <w:uiPriority w:val="9"/>
    <w:semiHidden/>
    <w:rsid w:val="00B42B44"/>
    <w:rPr>
      <w:rFonts w:eastAsiaTheme="majorEastAsia" w:cstheme="majorBidi"/>
      <w:color w:val="595959" w:themeColor="text1" w:themeTint="A6"/>
      <w:kern w:val="0"/>
      <w:sz w:val="22"/>
    </w:rPr>
  </w:style>
  <w:style w:type="character" w:customStyle="1" w:styleId="Heading8Char">
    <w:name w:val="Heading 8 Char"/>
    <w:basedOn w:val="DefaultParagraphFont"/>
    <w:link w:val="Heading8"/>
    <w:uiPriority w:val="9"/>
    <w:semiHidden/>
    <w:rsid w:val="00B42B44"/>
    <w:rPr>
      <w:rFonts w:eastAsiaTheme="majorEastAsia" w:cstheme="majorBidi"/>
      <w:i/>
      <w:iCs/>
      <w:color w:val="272727" w:themeColor="text1" w:themeTint="D8"/>
      <w:kern w:val="0"/>
      <w:sz w:val="22"/>
    </w:rPr>
  </w:style>
  <w:style w:type="character" w:customStyle="1" w:styleId="Heading9Char">
    <w:name w:val="Heading 9 Char"/>
    <w:basedOn w:val="DefaultParagraphFont"/>
    <w:link w:val="Heading9"/>
    <w:uiPriority w:val="9"/>
    <w:semiHidden/>
    <w:rsid w:val="00B42B44"/>
    <w:rPr>
      <w:rFonts w:eastAsiaTheme="majorEastAsia" w:cstheme="majorBidi"/>
      <w:color w:val="272727" w:themeColor="text1" w:themeTint="D8"/>
      <w:kern w:val="0"/>
      <w:sz w:val="22"/>
    </w:rPr>
  </w:style>
  <w:style w:type="paragraph" w:styleId="Title">
    <w:name w:val="Title"/>
    <w:basedOn w:val="Normal"/>
    <w:next w:val="Normal"/>
    <w:link w:val="TitleChar"/>
    <w:uiPriority w:val="10"/>
    <w:qFormat/>
    <w:rsid w:val="00B42B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B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B44"/>
    <w:rPr>
      <w:rFonts w:eastAsiaTheme="majorEastAsia" w:cstheme="majorBidi"/>
      <w:color w:val="595959" w:themeColor="text1" w:themeTint="A6"/>
      <w:spacing w:val="15"/>
      <w:kern w:val="0"/>
      <w:sz w:val="28"/>
      <w:szCs w:val="28"/>
    </w:rPr>
  </w:style>
  <w:style w:type="paragraph" w:styleId="Quote">
    <w:name w:val="Quote"/>
    <w:basedOn w:val="Normal"/>
    <w:next w:val="Normal"/>
    <w:link w:val="QuoteChar"/>
    <w:uiPriority w:val="29"/>
    <w:qFormat/>
    <w:rsid w:val="00B42B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B44"/>
    <w:rPr>
      <w:rFonts w:ascii="Calibri" w:hAnsi="Calibri" w:cs="Aptos"/>
      <w:i/>
      <w:iCs/>
      <w:color w:val="404040" w:themeColor="text1" w:themeTint="BF"/>
      <w:kern w:val="0"/>
      <w:sz w:val="22"/>
    </w:rPr>
  </w:style>
  <w:style w:type="paragraph" w:styleId="ListParagraph">
    <w:name w:val="List Paragraph"/>
    <w:aliases w:val="Bullet list,Body Bullet List,Figure_name,List Paragraph1,Bullet- First level,Recommendation list,List Paragraph11,Dot pt,F5 List Paragraph,No Spacing1,List Paragraph Char Char Char,Indicator Text,Colorful List - Accent 11,Numbered Para 1"/>
    <w:basedOn w:val="Normal"/>
    <w:link w:val="ListParagraphChar"/>
    <w:uiPriority w:val="34"/>
    <w:qFormat/>
    <w:rsid w:val="00B42B44"/>
    <w:pPr>
      <w:ind w:left="720"/>
      <w:contextualSpacing/>
    </w:pPr>
  </w:style>
  <w:style w:type="character" w:styleId="IntenseEmphasis">
    <w:name w:val="Intense Emphasis"/>
    <w:basedOn w:val="DefaultParagraphFont"/>
    <w:uiPriority w:val="21"/>
    <w:qFormat/>
    <w:rsid w:val="00B42B44"/>
    <w:rPr>
      <w:i/>
      <w:iCs/>
      <w:color w:val="0F4761" w:themeColor="accent1" w:themeShade="BF"/>
    </w:rPr>
  </w:style>
  <w:style w:type="paragraph" w:styleId="IntenseQuote">
    <w:name w:val="Intense Quote"/>
    <w:basedOn w:val="Normal"/>
    <w:next w:val="Normal"/>
    <w:link w:val="IntenseQuoteChar"/>
    <w:uiPriority w:val="30"/>
    <w:qFormat/>
    <w:rsid w:val="00B42B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B44"/>
    <w:rPr>
      <w:rFonts w:ascii="Calibri" w:hAnsi="Calibri" w:cs="Aptos"/>
      <w:i/>
      <w:iCs/>
      <w:color w:val="0F4761" w:themeColor="accent1" w:themeShade="BF"/>
      <w:kern w:val="0"/>
      <w:sz w:val="22"/>
    </w:rPr>
  </w:style>
  <w:style w:type="character" w:styleId="IntenseReference">
    <w:name w:val="Intense Reference"/>
    <w:basedOn w:val="DefaultParagraphFont"/>
    <w:uiPriority w:val="32"/>
    <w:qFormat/>
    <w:rsid w:val="00B42B44"/>
    <w:rPr>
      <w:b/>
      <w:bCs/>
      <w:smallCaps/>
      <w:color w:val="0F4761" w:themeColor="accent1" w:themeShade="BF"/>
      <w:spacing w:val="5"/>
    </w:rPr>
  </w:style>
  <w:style w:type="paragraph" w:styleId="ListBullet2">
    <w:name w:val="List Bullet 2"/>
    <w:basedOn w:val="Normal"/>
    <w:uiPriority w:val="1"/>
    <w:unhideWhenUsed/>
    <w:qFormat/>
    <w:rsid w:val="00B42B44"/>
    <w:pPr>
      <w:numPr>
        <w:numId w:val="1"/>
      </w:numPr>
      <w:spacing w:after="80"/>
      <w:ind w:left="0" w:firstLine="0"/>
    </w:pPr>
    <w:rPr>
      <w:kern w:val="0"/>
      <w:szCs w:val="22"/>
      <w14:ligatures w14:val="none"/>
    </w:rPr>
  </w:style>
  <w:style w:type="paragraph" w:customStyle="1" w:styleId="boxbullet">
    <w:name w:val="box bullet"/>
    <w:basedOn w:val="ListBullet2"/>
    <w:link w:val="boxbulletChar"/>
    <w:autoRedefine/>
    <w:qFormat/>
    <w:rsid w:val="00B42B44"/>
    <w:pPr>
      <w:spacing w:after="0"/>
      <w:ind w:left="357"/>
    </w:pPr>
  </w:style>
  <w:style w:type="character" w:customStyle="1" w:styleId="boxbulletChar">
    <w:name w:val="box bullet Char"/>
    <w:basedOn w:val="DefaultParagraphFont"/>
    <w:link w:val="boxbullet"/>
    <w:rsid w:val="00B42B44"/>
    <w:rPr>
      <w:rFonts w:ascii="Calibri" w:hAnsi="Calibri"/>
      <w:color w:val="000000" w:themeColor="text1"/>
      <w:kern w:val="0"/>
      <w:sz w:val="22"/>
      <w:szCs w:val="22"/>
      <w14:ligatures w14:val="none"/>
    </w:rPr>
  </w:style>
  <w:style w:type="paragraph" w:customStyle="1" w:styleId="BodyText-Numbered">
    <w:name w:val="Body Text - Numbered"/>
    <w:basedOn w:val="Normal"/>
    <w:link w:val="BodyText-NumberedChar"/>
    <w:qFormat/>
    <w:rsid w:val="00094DB1"/>
    <w:pPr>
      <w:numPr>
        <w:numId w:val="2"/>
      </w:numPr>
      <w:spacing w:before="120" w:line="270" w:lineRule="exact"/>
      <w:jc w:val="left"/>
    </w:pPr>
    <w:rPr>
      <w:rFonts w:eastAsia="Times New Roman" w:cs="Times New Roman"/>
      <w:color w:val="auto"/>
      <w:kern w:val="0"/>
      <w:szCs w:val="22"/>
      <w:lang w:eastAsia="ko-KR"/>
      <w14:ligatures w14:val="none"/>
    </w:rPr>
  </w:style>
  <w:style w:type="character" w:customStyle="1" w:styleId="BodyText-NumberedChar">
    <w:name w:val="Body Text - Numbered Char"/>
    <w:link w:val="BodyText-Numbered"/>
    <w:rsid w:val="00094DB1"/>
    <w:rPr>
      <w:rFonts w:ascii="Calibri" w:eastAsia="Times New Roman" w:hAnsi="Calibri" w:cs="Times New Roman"/>
      <w:kern w:val="0"/>
      <w:sz w:val="22"/>
      <w:szCs w:val="22"/>
      <w:lang w:eastAsia="ko-KR"/>
      <w14:ligatures w14:val="none"/>
    </w:rPr>
  </w:style>
  <w:style w:type="paragraph" w:customStyle="1" w:styleId="LineTeal">
    <w:name w:val="Line Teal"/>
    <w:next w:val="BodyText"/>
    <w:uiPriority w:val="11"/>
    <w:rsid w:val="00094DB1"/>
    <w:pPr>
      <w:widowControl w:val="0"/>
      <w:pBdr>
        <w:bottom w:val="single" w:sz="24" w:space="1" w:color="006272"/>
      </w:pBdr>
      <w:spacing w:before="360" w:after="480" w:line="20" w:lineRule="exact"/>
      <w:ind w:right="6237"/>
    </w:pPr>
    <w:rPr>
      <w:rFonts w:ascii="Calibri" w:eastAsia="Times New Roman" w:hAnsi="Calibri" w:cs="Times New Roman"/>
      <w:color w:val="006272"/>
      <w:kern w:val="0"/>
      <w:sz w:val="22"/>
      <w:szCs w:val="22"/>
      <w:lang w:eastAsia="en-NZ"/>
      <w14:ligatures w14:val="none"/>
    </w:rPr>
  </w:style>
  <w:style w:type="paragraph" w:styleId="BodyText">
    <w:name w:val="Body Text"/>
    <w:basedOn w:val="Normal"/>
    <w:link w:val="BodyTextChar"/>
    <w:unhideWhenUsed/>
    <w:qFormat/>
    <w:rsid w:val="00094DB1"/>
    <w:pPr>
      <w:spacing w:before="120"/>
      <w:jc w:val="left"/>
    </w:pPr>
    <w:rPr>
      <w:rFonts w:eastAsia="Times New Roman" w:cs="Times New Roman"/>
      <w:i/>
      <w:color w:val="auto"/>
      <w:kern w:val="0"/>
      <w:szCs w:val="22"/>
      <w:lang w:eastAsia="ko-KR"/>
      <w14:ligatures w14:val="none"/>
    </w:rPr>
  </w:style>
  <w:style w:type="character" w:customStyle="1" w:styleId="BodyTextChar">
    <w:name w:val="Body Text Char"/>
    <w:basedOn w:val="DefaultParagraphFont"/>
    <w:link w:val="BodyText"/>
    <w:rsid w:val="00094DB1"/>
    <w:rPr>
      <w:rFonts w:ascii="Calibri" w:eastAsia="Times New Roman" w:hAnsi="Calibri" w:cs="Times New Roman"/>
      <w:i/>
      <w:kern w:val="0"/>
      <w:sz w:val="22"/>
      <w:szCs w:val="22"/>
      <w:lang w:eastAsia="ko-KR"/>
      <w14:ligatures w14:val="none"/>
    </w:rPr>
  </w:style>
  <w:style w:type="character" w:styleId="Hyperlink">
    <w:name w:val="Hyperlink"/>
    <w:uiPriority w:val="99"/>
    <w:unhideWhenUsed/>
    <w:qFormat/>
    <w:rsid w:val="00094DB1"/>
    <w:rPr>
      <w:rFonts w:ascii="Calibri" w:hAnsi="Calibri"/>
      <w:b/>
      <w:i/>
      <w:color w:val="006272"/>
      <w:u w:val="single"/>
    </w:rPr>
  </w:style>
  <w:style w:type="character" w:customStyle="1" w:styleId="ListParagraphChar">
    <w:name w:val="List Paragraph Char"/>
    <w:aliases w:val="Bullet list Char,Body Bullet List Char,Figure_name Char,List Paragraph1 Char,Bullet- First level Char,Recommendation list Char,List Paragraph11 Char,Dot pt Char,F5 List Paragraph Char,No Spacing1 Char,Indicator Text Char"/>
    <w:link w:val="ListParagraph"/>
    <w:uiPriority w:val="34"/>
    <w:rsid w:val="00094DB1"/>
    <w:rPr>
      <w:rFonts w:ascii="Calibri" w:hAnsi="Calibri"/>
      <w:color w:val="000000" w:themeColor="text1"/>
      <w:sz w:val="22"/>
    </w:rPr>
  </w:style>
  <w:style w:type="paragraph" w:customStyle="1" w:styleId="BodyText-Bullets">
    <w:name w:val="Body Text - Bullets"/>
    <w:basedOn w:val="Normal"/>
    <w:link w:val="BodyText-BulletsChar"/>
    <w:qFormat/>
    <w:rsid w:val="00094DB1"/>
    <w:pPr>
      <w:numPr>
        <w:numId w:val="3"/>
      </w:numPr>
      <w:spacing w:before="120"/>
      <w:jc w:val="left"/>
    </w:pPr>
    <w:rPr>
      <w:rFonts w:eastAsia="Times New Roman" w:cs="Times New Roman"/>
      <w:color w:val="auto"/>
      <w:kern w:val="0"/>
      <w:szCs w:val="22"/>
      <w:lang w:eastAsia="ko-KR"/>
      <w14:ligatures w14:val="none"/>
    </w:rPr>
  </w:style>
  <w:style w:type="character" w:customStyle="1" w:styleId="BodyText-BulletsChar">
    <w:name w:val="Body Text - Bullets Char"/>
    <w:link w:val="BodyText-Bullets"/>
    <w:rsid w:val="00094DB1"/>
    <w:rPr>
      <w:rFonts w:ascii="Calibri" w:eastAsia="Times New Roman" w:hAnsi="Calibri" w:cs="Times New Roman"/>
      <w:kern w:val="0"/>
      <w:sz w:val="22"/>
      <w:szCs w:val="22"/>
      <w:lang w:eastAsia="ko-KR"/>
      <w14:ligatures w14:val="none"/>
    </w:rPr>
  </w:style>
  <w:style w:type="paragraph" w:customStyle="1" w:styleId="Heading1-Unnumbered">
    <w:name w:val="Heading 1 - Unnumbered"/>
    <w:basedOn w:val="Heading1"/>
    <w:link w:val="Heading1-UnnumberedChar"/>
    <w:uiPriority w:val="99"/>
    <w:qFormat/>
    <w:rsid w:val="00094DB1"/>
    <w:pPr>
      <w:keepNext w:val="0"/>
      <w:keepLines w:val="0"/>
      <w:spacing w:before="240" w:after="240"/>
      <w:jc w:val="left"/>
    </w:pPr>
    <w:rPr>
      <w:rFonts w:ascii="Calibri" w:eastAsia="Times New Roman" w:hAnsi="Calibri" w:cs="Times New Roman"/>
      <w:b/>
      <w:color w:val="006272"/>
      <w:kern w:val="0"/>
      <w:sz w:val="60"/>
      <w:szCs w:val="30"/>
      <w:lang w:eastAsia="ko-KR"/>
      <w14:ligatures w14:val="none"/>
    </w:rPr>
  </w:style>
  <w:style w:type="character" w:customStyle="1" w:styleId="Heading1-UnnumberedChar">
    <w:name w:val="Heading 1 - Unnumbered Char"/>
    <w:link w:val="Heading1-Unnumbered"/>
    <w:uiPriority w:val="99"/>
    <w:rsid w:val="00094DB1"/>
    <w:rPr>
      <w:rFonts w:ascii="Calibri" w:eastAsia="Times New Roman" w:hAnsi="Calibri" w:cs="Times New Roman"/>
      <w:b/>
      <w:color w:val="006272"/>
      <w:kern w:val="0"/>
      <w:sz w:val="60"/>
      <w:szCs w:val="30"/>
      <w:lang w:eastAsia="ko-KR"/>
      <w14:ligatures w14:val="none"/>
    </w:rPr>
  </w:style>
  <w:style w:type="character" w:styleId="FollowedHyperlink">
    <w:name w:val="FollowedHyperlink"/>
    <w:basedOn w:val="DefaultParagraphFont"/>
    <w:uiPriority w:val="99"/>
    <w:semiHidden/>
    <w:unhideWhenUsed/>
    <w:rsid w:val="009D0ED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bie.govt.nz"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2877</Words>
  <Characters>16403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Capital Markets Reforms Phase Two</vt:lpstr>
    </vt:vector>
  </TitlesOfParts>
  <Company>Ministry of Business, Innovation and Employment</Company>
  <LinksUpToDate>false</LinksUpToDate>
  <CharactersWithSpaces>19242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Capital Markets Reforms Phase Two</dc:title>
  <dc:subject/>
  <dc:creator>Laurie Teal</dc:creator>
  <cp:keywords/>
  <dc:description/>
  <cp:lastModifiedBy>Laurie Teal</cp:lastModifiedBy>
  <cp:revision>14</cp:revision>
  <dcterms:created xsi:type="dcterms:W3CDTF">2026-06-22T21:10:00Z</dcterms:created>
  <dcterms:modified xsi:type="dcterms:W3CDTF">2026-07-15T21:42:00Z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2026-06-22T23:57:36Z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0ead8658-1dff-4638-9499-2c9ddee09aeb</vt:lpwstr>
  </property>
  <property fmtid="{D5CDD505-2E9C-101B-9397-08002B2CF9AE}" pid="8" name="MSIP_Label_738466f7-346c-47bb-a4d2-4a6558d61975_ContentBits">
    <vt:lpwstr>0</vt:lpwstr>
  </property>
  <property fmtid="{D5CDD505-2E9C-101B-9397-08002B2CF9AE}" pid="9" name="MSIP_Label_738466f7-346c-47bb-a4d2-4a6558d61975_Tag">
    <vt:lpwstr>10, 0, 1, 1</vt:lpwstr>
  </property>
</Properties>
</file>